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99"/>
        <w:tblW w:w="9072" w:type="dxa"/>
        <w:tblLayout w:type="fixed"/>
        <w:tblCellMar>
          <w:top w:w="55" w:type="dxa"/>
          <w:left w:w="55" w:type="dxa"/>
          <w:bottom w:w="55" w:type="dxa"/>
          <w:right w:w="55" w:type="dxa"/>
        </w:tblCellMar>
        <w:tblLook w:val="0000" w:firstRow="0" w:lastRow="0" w:firstColumn="0" w:lastColumn="0" w:noHBand="0" w:noVBand="0"/>
      </w:tblPr>
      <w:tblGrid>
        <w:gridCol w:w="3481"/>
        <w:gridCol w:w="5591"/>
      </w:tblGrid>
      <w:tr w:rsidR="00623F49" w:rsidRPr="000E1762" w14:paraId="68505466" w14:textId="77777777" w:rsidTr="00E84C93">
        <w:trPr>
          <w:trHeight w:val="3912"/>
        </w:trPr>
        <w:tc>
          <w:tcPr>
            <w:tcW w:w="3481" w:type="dxa"/>
            <w:shd w:val="clear" w:color="auto" w:fill="auto"/>
          </w:tcPr>
          <w:p w14:paraId="2D6CCA4D" w14:textId="77777777" w:rsidR="00623F49" w:rsidRPr="000E1762" w:rsidRDefault="00623F49" w:rsidP="00E84C93">
            <w:pPr>
              <w:widowControl w:val="0"/>
              <w:suppressLineNumbers/>
              <w:suppressAutoHyphens/>
              <w:spacing w:line="100" w:lineRule="atLeast"/>
              <w:rPr>
                <w:rFonts w:ascii="Times New Roman" w:hAnsi="Times New Roman"/>
                <w:sz w:val="20"/>
                <w:szCs w:val="20"/>
                <w:lang w:val="en-GB" w:eastAsia="en-GB"/>
              </w:rPr>
            </w:pPr>
            <w:bookmarkStart w:id="0" w:name="_GoBack"/>
            <w:bookmarkEnd w:id="0"/>
            <w:r>
              <w:rPr>
                <w:noProof/>
                <w:lang w:val="en-US" w:eastAsia="en-US"/>
              </w:rPr>
              <w:drawing>
                <wp:anchor distT="0" distB="0" distL="114300" distR="114300" simplePos="0" relativeHeight="251659264" behindDoc="0" locked="0" layoutInCell="1" allowOverlap="1" wp14:anchorId="1CC081B0" wp14:editId="203C0924">
                  <wp:simplePos x="0" y="0"/>
                  <wp:positionH relativeFrom="column">
                    <wp:posOffset>17780</wp:posOffset>
                  </wp:positionH>
                  <wp:positionV relativeFrom="paragraph">
                    <wp:posOffset>437515</wp:posOffset>
                  </wp:positionV>
                  <wp:extent cx="1579880" cy="953770"/>
                  <wp:effectExtent l="0" t="0" r="1270" b="0"/>
                  <wp:wrapTopAndBottom/>
                  <wp:docPr id="1" name="Picture 1" descr="C:\Users\MICK\AppData\Local\Microsoft\Windows\INetCache\Content.Word\LV-logo-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AppData\Local\Microsoft\Windows\INetCache\Content.Word\LV-logo-1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88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91" w:type="dxa"/>
            <w:shd w:val="clear" w:color="auto" w:fill="auto"/>
          </w:tcPr>
          <w:p w14:paraId="4199AEBC" w14:textId="77777777" w:rsidR="00623F49" w:rsidRPr="000E1762" w:rsidRDefault="00623F49"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Helvetica-Bold" w:hAnsi="Calibri Light" w:cs="Helvetica-Bold"/>
                <w:color w:val="000000"/>
                <w:sz w:val="16"/>
                <w:szCs w:val="16"/>
                <w:lang w:val="en-GB" w:eastAsia="en-GB"/>
              </w:rPr>
            </w:pPr>
            <w:r w:rsidRPr="000E1762">
              <w:rPr>
                <w:rFonts w:ascii="Calibri Light" w:eastAsia="Helvetica-Bold" w:hAnsi="Calibri Light" w:cs="Helvetica-Bold"/>
                <w:color w:val="000000"/>
                <w:sz w:val="16"/>
                <w:szCs w:val="16"/>
                <w:lang w:val="en-GB" w:eastAsia="en-GB"/>
              </w:rPr>
              <w:t>Victorian Council for Civil Liberties Inc</w:t>
            </w:r>
          </w:p>
          <w:p w14:paraId="3FD13611" w14:textId="77777777" w:rsidR="00623F49" w:rsidRPr="000E1762" w:rsidRDefault="00623F49"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Helvetica-Bold" w:hAnsi="Calibri Light" w:cs="Helvetica-Bold"/>
                <w:color w:val="000000"/>
                <w:sz w:val="16"/>
                <w:szCs w:val="16"/>
                <w:lang w:val="en-GB" w:eastAsia="en-GB"/>
              </w:rPr>
            </w:pPr>
            <w:r w:rsidRPr="000E1762">
              <w:rPr>
                <w:rFonts w:ascii="Calibri Light" w:eastAsia="Helvetica-Bold" w:hAnsi="Calibri Light" w:cs="Helvetica-Bold"/>
                <w:color w:val="000000"/>
                <w:sz w:val="16"/>
                <w:szCs w:val="16"/>
                <w:lang w:val="en-GB" w:eastAsia="en-GB"/>
              </w:rPr>
              <w:t>Reg No: A0026497L</w:t>
            </w:r>
          </w:p>
          <w:p w14:paraId="581406DC" w14:textId="77777777" w:rsidR="00623F49" w:rsidRPr="000E1762" w:rsidRDefault="00623F49"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Helvetica-Bold" w:hAnsi="Calibri Light" w:cs="Helvetica-Bold"/>
                <w:color w:val="BE1F04"/>
                <w:sz w:val="16"/>
                <w:szCs w:val="16"/>
                <w:lang w:val="en-GB" w:eastAsia="en-GB"/>
              </w:rPr>
            </w:pPr>
            <w:r w:rsidRPr="000E1762">
              <w:rPr>
                <w:rFonts w:ascii="Calibri Light" w:eastAsia="Helvetica-Bold" w:hAnsi="Calibri Light" w:cs="Helvetica-Bold"/>
                <w:color w:val="000000"/>
                <w:sz w:val="16"/>
                <w:szCs w:val="16"/>
                <w:lang w:val="en-GB" w:eastAsia="en-GB"/>
              </w:rPr>
              <w:t>GPO Box 3161</w:t>
            </w:r>
            <w:r>
              <w:rPr>
                <w:rFonts w:ascii="Calibri Light" w:eastAsia="Helvetica-Bold" w:hAnsi="Calibri Light" w:cs="Helvetica-Bold"/>
                <w:color w:val="000000"/>
                <w:sz w:val="16"/>
                <w:szCs w:val="16"/>
                <w:lang w:val="en-GB" w:eastAsia="en-GB"/>
              </w:rPr>
              <w:br/>
            </w:r>
            <w:r w:rsidRPr="000E1762">
              <w:rPr>
                <w:rFonts w:ascii="Calibri Light" w:eastAsia="Helvetica-Bold" w:hAnsi="Calibri Light" w:cs="Helvetica-Bold"/>
                <w:color w:val="000000"/>
                <w:sz w:val="16"/>
                <w:szCs w:val="16"/>
                <w:lang w:val="en-GB" w:eastAsia="en-GB"/>
              </w:rPr>
              <w:t>Melbourne, VIC 3001</w:t>
            </w:r>
          </w:p>
          <w:p w14:paraId="13581A37" w14:textId="77777777" w:rsidR="00623F49" w:rsidRPr="000E1762" w:rsidRDefault="00623F49"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Helvetica-Bold" w:hAnsi="Calibri Light" w:cs="Helvetica-Bold"/>
                <w:sz w:val="16"/>
                <w:szCs w:val="16"/>
                <w:lang w:val="en-GB" w:eastAsia="en-GB"/>
              </w:rPr>
            </w:pPr>
            <w:r w:rsidRPr="000E1762">
              <w:rPr>
                <w:rFonts w:ascii="Calibri Light" w:eastAsia="Helvetica-Bold" w:hAnsi="Calibri Light" w:cs="Helvetica-Bold"/>
                <w:sz w:val="16"/>
                <w:szCs w:val="16"/>
                <w:lang w:val="en-GB" w:eastAsia="en-GB"/>
              </w:rPr>
              <w:t>t 03 9670 6422</w:t>
            </w:r>
          </w:p>
          <w:p w14:paraId="35F25FDC" w14:textId="77777777" w:rsidR="00623F49" w:rsidRPr="000E1762" w:rsidRDefault="00623F49"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TrebuchetMS" w:hAnsi="Calibri Light" w:cs="TrebuchetMS"/>
                <w:color w:val="000000"/>
                <w:sz w:val="16"/>
                <w:szCs w:val="16"/>
                <w:lang w:val="en-GB" w:eastAsia="en-GB"/>
              </w:rPr>
            </w:pPr>
            <w:r w:rsidRPr="000E1762">
              <w:rPr>
                <w:rFonts w:ascii="Calibri Light" w:eastAsia="Helvetica-Bold" w:hAnsi="Calibri Light" w:cs="Helvetica-Bold"/>
                <w:color w:val="000000"/>
                <w:sz w:val="16"/>
                <w:szCs w:val="16"/>
                <w:lang w:val="en-GB" w:eastAsia="en-GB"/>
              </w:rPr>
              <w:t>info@libertyvictoria.org.au</w:t>
            </w:r>
          </w:p>
          <w:p w14:paraId="2E545763" w14:textId="77777777" w:rsidR="00623F49" w:rsidRPr="000E1762" w:rsidRDefault="00623F49"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20" w:after="0" w:line="100" w:lineRule="atLeast"/>
              <w:jc w:val="right"/>
              <w:rPr>
                <w:rFonts w:ascii="Calibri Light" w:eastAsia="Helvetica-Bold" w:hAnsi="Calibri Light" w:cs="Helvetica-Bold"/>
                <w:color w:val="000000"/>
                <w:sz w:val="16"/>
                <w:szCs w:val="16"/>
                <w:lang w:val="en-GB" w:eastAsia="en-GB"/>
              </w:rPr>
            </w:pPr>
            <w:r w:rsidRPr="000E1762">
              <w:rPr>
                <w:rFonts w:ascii="Calibri Light" w:eastAsia="Helvetica-Bold" w:hAnsi="Calibri Light" w:cs="Helvetica-Bold"/>
                <w:color w:val="000000"/>
                <w:sz w:val="16"/>
                <w:szCs w:val="16"/>
                <w:lang w:val="en-GB" w:eastAsia="en-GB"/>
              </w:rPr>
              <w:t>PRESIDENT</w:t>
            </w:r>
          </w:p>
          <w:p w14:paraId="74A929FB" w14:textId="1761C65B" w:rsidR="00623F49" w:rsidRPr="000E1762" w:rsidRDefault="00FD5295"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Helvetica-Bold" w:hAnsi="Calibri Light" w:cs="Helvetica-Bold"/>
                <w:color w:val="000000"/>
                <w:sz w:val="16"/>
                <w:szCs w:val="16"/>
                <w:lang w:val="en-GB" w:eastAsia="en-GB"/>
              </w:rPr>
            </w:pPr>
            <w:r>
              <w:rPr>
                <w:rFonts w:ascii="Calibri Light" w:eastAsia="Helvetica-Bold" w:hAnsi="Calibri Light" w:cs="Helvetica-Bold"/>
                <w:color w:val="000000"/>
                <w:sz w:val="16"/>
                <w:szCs w:val="16"/>
                <w:lang w:val="en-GB" w:eastAsia="en-GB"/>
              </w:rPr>
              <w:t>Julian Burnside QC</w:t>
            </w:r>
          </w:p>
          <w:p w14:paraId="18BC8B28" w14:textId="530F2770" w:rsidR="00623F49" w:rsidRPr="000E1762" w:rsidRDefault="00623F49"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20" w:after="0" w:line="100" w:lineRule="atLeast"/>
              <w:jc w:val="right"/>
              <w:rPr>
                <w:rFonts w:ascii="Calibri Light" w:eastAsia="Helvetica-Bold" w:hAnsi="Calibri Light" w:cs="Helvetica-Bold"/>
                <w:color w:val="000000"/>
                <w:sz w:val="16"/>
                <w:szCs w:val="16"/>
                <w:lang w:val="en-GB" w:eastAsia="en-GB"/>
              </w:rPr>
            </w:pPr>
            <w:r w:rsidRPr="000E1762">
              <w:rPr>
                <w:rFonts w:ascii="Calibri Light" w:eastAsia="Helvetica-Bold" w:hAnsi="Calibri Light" w:cs="Helvetica-Bold"/>
                <w:color w:val="000000"/>
                <w:sz w:val="16"/>
                <w:szCs w:val="16"/>
                <w:lang w:val="en-GB" w:eastAsia="en-GB"/>
              </w:rPr>
              <w:t>SENIOR VICE-PRESIDENT</w:t>
            </w:r>
          </w:p>
          <w:p w14:paraId="14333282" w14:textId="05CFFE77" w:rsidR="00623F49" w:rsidRPr="000E1762" w:rsidRDefault="000901E3"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Helvetica-Bold" w:hAnsi="Calibri Light" w:cs="Helvetica-Bold"/>
                <w:color w:val="000000"/>
                <w:sz w:val="16"/>
                <w:szCs w:val="16"/>
                <w:lang w:val="en-GB" w:eastAsia="en-GB"/>
              </w:rPr>
            </w:pPr>
            <w:r>
              <w:rPr>
                <w:rFonts w:ascii="Calibri Light" w:eastAsia="Helvetica-Bold" w:hAnsi="Calibri Light" w:cs="Helvetica-Bold"/>
                <w:color w:val="000000"/>
                <w:sz w:val="16"/>
                <w:szCs w:val="16"/>
                <w:lang w:val="en-GB" w:eastAsia="en-GB"/>
              </w:rPr>
              <w:t>Sam Norton</w:t>
            </w:r>
          </w:p>
          <w:p w14:paraId="060A6329" w14:textId="77777777" w:rsidR="0012110B" w:rsidRDefault="0012110B" w:rsidP="00121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20" w:after="0" w:line="100" w:lineRule="atLeast"/>
              <w:jc w:val="right"/>
              <w:rPr>
                <w:rFonts w:ascii="Calibri Light" w:eastAsia="Helvetica-Bold" w:hAnsi="Calibri Light" w:cs="Helvetica-Bold"/>
                <w:color w:val="000000"/>
                <w:sz w:val="16"/>
                <w:szCs w:val="16"/>
                <w:lang w:val="en-GB" w:eastAsia="en-GB"/>
              </w:rPr>
            </w:pPr>
            <w:r>
              <w:rPr>
                <w:rFonts w:ascii="Calibri Light" w:eastAsia="Helvetica-Bold" w:hAnsi="Calibri Light" w:cs="Helvetica-Bold"/>
                <w:color w:val="000000"/>
                <w:sz w:val="16"/>
                <w:szCs w:val="16"/>
                <w:lang w:val="en-GB" w:eastAsia="en-GB"/>
              </w:rPr>
              <w:t>VICE-PRESIDENTS</w:t>
            </w:r>
          </w:p>
          <w:p w14:paraId="511FA543" w14:textId="01F7569C" w:rsidR="000901E3" w:rsidRDefault="000901E3"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Helvetica-Bold" w:hAnsi="Calibri Light" w:cs="Helvetica-Bold"/>
                <w:color w:val="000000"/>
                <w:sz w:val="16"/>
                <w:szCs w:val="16"/>
                <w:lang w:val="en-GB" w:eastAsia="en-GB"/>
              </w:rPr>
            </w:pPr>
            <w:r w:rsidRPr="000E1762">
              <w:rPr>
                <w:rFonts w:ascii="Calibri Light" w:eastAsia="Helvetica-Bold" w:hAnsi="Calibri Light" w:cs="Helvetica-Bold"/>
                <w:color w:val="000000"/>
                <w:sz w:val="16"/>
                <w:szCs w:val="16"/>
                <w:lang w:val="en-GB" w:eastAsia="en-GB"/>
              </w:rPr>
              <w:t>Jamie Gardiner</w:t>
            </w:r>
            <w:r>
              <w:rPr>
                <w:rFonts w:ascii="Calibri Light" w:eastAsia="Helvetica-Bold" w:hAnsi="Calibri Light" w:cs="Helvetica-Bold"/>
                <w:color w:val="000000"/>
                <w:sz w:val="16"/>
                <w:szCs w:val="16"/>
                <w:lang w:val="en-GB" w:eastAsia="en-GB"/>
              </w:rPr>
              <w:t xml:space="preserve"> OAM</w:t>
            </w:r>
          </w:p>
          <w:p w14:paraId="4F48EFE1" w14:textId="4613D5A1" w:rsidR="005202FD" w:rsidRDefault="0012110B"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Helvetica-Bold" w:hAnsi="Calibri Light" w:cs="Helvetica-Bold"/>
                <w:color w:val="000000"/>
                <w:sz w:val="16"/>
                <w:szCs w:val="16"/>
                <w:lang w:val="en-GB" w:eastAsia="en-GB"/>
              </w:rPr>
            </w:pPr>
            <w:r>
              <w:rPr>
                <w:rFonts w:ascii="Calibri Light" w:eastAsia="Helvetica-Bold" w:hAnsi="Calibri Light" w:cs="Helvetica-Bold"/>
                <w:color w:val="000000"/>
                <w:sz w:val="16"/>
                <w:szCs w:val="16"/>
                <w:lang w:val="en-GB" w:eastAsia="en-GB"/>
              </w:rPr>
              <w:t>Thomas Kane</w:t>
            </w:r>
          </w:p>
          <w:p w14:paraId="0B2568D1" w14:textId="1D27ED72" w:rsidR="00623F49" w:rsidRPr="000E1762" w:rsidRDefault="005202FD"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Helvetica-Bold" w:hAnsi="Calibri Light" w:cs="Helvetica-Bold"/>
                <w:color w:val="000000"/>
                <w:sz w:val="16"/>
                <w:szCs w:val="16"/>
                <w:lang w:val="en-GB" w:eastAsia="en-GB"/>
              </w:rPr>
            </w:pPr>
            <w:r w:rsidRPr="005202FD">
              <w:rPr>
                <w:rFonts w:ascii="Calibri Light" w:eastAsia="Helvetica-Bold" w:hAnsi="Calibri Light" w:cs="Helvetica-Bold"/>
                <w:color w:val="000000"/>
                <w:sz w:val="16"/>
                <w:szCs w:val="16"/>
                <w:lang w:val="en-GB" w:eastAsia="en-GB"/>
              </w:rPr>
              <w:t>Julia Kretzenbacher</w:t>
            </w:r>
            <w:r w:rsidR="00623F49" w:rsidRPr="000E1762">
              <w:rPr>
                <w:rFonts w:ascii="Calibri Light" w:eastAsia="Helvetica-Bold" w:hAnsi="Calibri Light" w:cs="Helvetica-Bold"/>
                <w:color w:val="000000"/>
                <w:sz w:val="16"/>
                <w:szCs w:val="16"/>
                <w:lang w:val="en-GB" w:eastAsia="en-GB"/>
              </w:rPr>
              <w:t xml:space="preserve"> </w:t>
            </w:r>
          </w:p>
          <w:p w14:paraId="3532C742" w14:textId="77777777" w:rsidR="00623F49" w:rsidRPr="000E1762" w:rsidRDefault="00623F49"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20" w:after="0" w:line="100" w:lineRule="atLeast"/>
              <w:jc w:val="right"/>
              <w:rPr>
                <w:rFonts w:ascii="Calibri Light" w:eastAsia="TrebuchetMS" w:hAnsi="Calibri Light" w:cs="TrebuchetMS"/>
                <w:color w:val="000000"/>
                <w:sz w:val="16"/>
                <w:szCs w:val="16"/>
                <w:lang w:val="en-GB" w:eastAsia="en-GB"/>
              </w:rPr>
            </w:pPr>
            <w:r w:rsidRPr="000E1762">
              <w:rPr>
                <w:rFonts w:ascii="Calibri Light" w:eastAsia="Helvetica-Bold" w:hAnsi="Calibri Light" w:cs="Helvetica-Bold"/>
                <w:color w:val="000000"/>
                <w:sz w:val="16"/>
                <w:szCs w:val="16"/>
                <w:lang w:val="en-GB" w:eastAsia="en-GB"/>
              </w:rPr>
              <w:t>IMMEDIATE PAST PRESIDENT</w:t>
            </w:r>
          </w:p>
          <w:p w14:paraId="781304B1" w14:textId="23D036B8" w:rsidR="00623F49" w:rsidRPr="000E1762" w:rsidRDefault="00FD5295"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100" w:lineRule="atLeast"/>
              <w:jc w:val="right"/>
              <w:rPr>
                <w:rFonts w:ascii="Calibri Light" w:eastAsia="Helvetica-Bold" w:hAnsi="Calibri Light" w:cs="Helvetica-Bold"/>
                <w:color w:val="000000"/>
                <w:sz w:val="16"/>
                <w:szCs w:val="16"/>
                <w:lang w:val="en-GB" w:eastAsia="en-GB"/>
              </w:rPr>
            </w:pPr>
            <w:r>
              <w:rPr>
                <w:rFonts w:ascii="Calibri Light" w:eastAsia="TrebuchetMS" w:hAnsi="Calibri Light" w:cs="TrebuchetMS"/>
                <w:color w:val="000000"/>
                <w:sz w:val="16"/>
                <w:szCs w:val="16"/>
                <w:lang w:val="en-GB" w:eastAsia="en-GB"/>
              </w:rPr>
              <w:t>Jessie Taylor</w:t>
            </w:r>
          </w:p>
          <w:p w14:paraId="0CA7F2B7" w14:textId="77777777" w:rsidR="00623F49" w:rsidRPr="000E1762" w:rsidRDefault="00623F49" w:rsidP="00E84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20" w:after="0" w:line="100" w:lineRule="atLeast"/>
              <w:jc w:val="right"/>
              <w:rPr>
                <w:rFonts w:ascii="Calibri Light" w:eastAsia="Helvetica-Bold" w:hAnsi="Calibri Light" w:cs="Helvetica-Bold"/>
                <w:color w:val="000000"/>
                <w:sz w:val="16"/>
                <w:szCs w:val="16"/>
                <w:lang w:val="en-GB" w:eastAsia="en-GB"/>
              </w:rPr>
            </w:pPr>
            <w:r w:rsidRPr="000E1762">
              <w:rPr>
                <w:rFonts w:ascii="Calibri Light" w:eastAsia="Helvetica-Bold" w:hAnsi="Calibri Light" w:cs="Helvetica-Bold"/>
                <w:color w:val="000000"/>
                <w:sz w:val="16"/>
                <w:szCs w:val="16"/>
                <w:lang w:val="en-GB" w:eastAsia="en-GB"/>
              </w:rPr>
              <w:t>PATRON</w:t>
            </w:r>
          </w:p>
          <w:p w14:paraId="22170610" w14:textId="77777777" w:rsidR="00623F49" w:rsidRPr="000E1762" w:rsidRDefault="00623F49" w:rsidP="00E84C93">
            <w:pPr>
              <w:widowControl w:val="0"/>
              <w:suppressAutoHyphens/>
              <w:autoSpaceDE w:val="0"/>
              <w:spacing w:after="0" w:line="100" w:lineRule="atLeast"/>
              <w:jc w:val="right"/>
              <w:rPr>
                <w:rFonts w:ascii="Times New Roman" w:hAnsi="Times New Roman"/>
                <w:sz w:val="20"/>
                <w:szCs w:val="20"/>
                <w:lang w:val="en-GB" w:eastAsia="en-GB"/>
              </w:rPr>
            </w:pPr>
            <w:r w:rsidRPr="000E1762">
              <w:rPr>
                <w:rFonts w:ascii="Calibri Light" w:eastAsia="Helvetica-Bold" w:hAnsi="Calibri Light" w:cs="Helvetica-Bold"/>
                <w:color w:val="000000"/>
                <w:sz w:val="16"/>
                <w:szCs w:val="16"/>
                <w:lang w:val="en-GB" w:eastAsia="en-GB"/>
              </w:rPr>
              <w:t>The Hon. Michael Kirby AC CMG</w:t>
            </w:r>
          </w:p>
        </w:tc>
      </w:tr>
      <w:tr w:rsidR="00623F49" w:rsidRPr="000E1762" w14:paraId="12994388" w14:textId="77777777" w:rsidTr="00E84C93">
        <w:trPr>
          <w:trHeight w:val="192"/>
        </w:trPr>
        <w:tc>
          <w:tcPr>
            <w:tcW w:w="3481" w:type="dxa"/>
            <w:shd w:val="clear" w:color="auto" w:fill="auto"/>
          </w:tcPr>
          <w:p w14:paraId="6CC2BCEC" w14:textId="578AE194" w:rsidR="00623F49" w:rsidRPr="000E1762" w:rsidRDefault="00460347" w:rsidP="00E84C93">
            <w:pPr>
              <w:widowControl w:val="0"/>
              <w:suppressLineNumbers/>
              <w:suppressAutoHyphens/>
              <w:spacing w:after="0" w:line="100" w:lineRule="atLeast"/>
              <w:rPr>
                <w:rFonts w:ascii="Calibri Light" w:hAnsi="Calibri Light"/>
                <w:sz w:val="20"/>
                <w:szCs w:val="20"/>
                <w:lang w:val="en-GB" w:eastAsia="en-GB"/>
              </w:rPr>
            </w:pPr>
            <w:hyperlink r:id="rId8" w:anchor="_blank" w:history="1">
              <w:r w:rsidR="00623F49" w:rsidRPr="000E1762">
                <w:rPr>
                  <w:rFonts w:ascii="Calibri Light" w:hAnsi="Calibri Light"/>
                  <w:color w:val="000000"/>
                  <w:sz w:val="20"/>
                  <w:szCs w:val="22"/>
                  <w:lang w:val="en-GB" w:eastAsia="en-GB"/>
                </w:rPr>
                <w:t>libertyvictoria.org.au</w:t>
              </w:r>
            </w:hyperlink>
          </w:p>
        </w:tc>
        <w:tc>
          <w:tcPr>
            <w:tcW w:w="5591" w:type="dxa"/>
            <w:shd w:val="clear" w:color="auto" w:fill="auto"/>
          </w:tcPr>
          <w:p w14:paraId="05D68AD8" w14:textId="77777777" w:rsidR="00623F49" w:rsidRPr="000E1762" w:rsidRDefault="00623F49" w:rsidP="00E84C93">
            <w:pPr>
              <w:widowControl w:val="0"/>
              <w:suppressLineNumbers/>
              <w:suppressAutoHyphens/>
              <w:spacing w:after="0" w:line="100" w:lineRule="atLeast"/>
              <w:rPr>
                <w:rFonts w:ascii="Times New Roman" w:hAnsi="Times New Roman"/>
                <w:sz w:val="20"/>
                <w:szCs w:val="20"/>
                <w:lang w:val="en-GB" w:eastAsia="en-GB"/>
              </w:rPr>
            </w:pPr>
          </w:p>
        </w:tc>
      </w:tr>
    </w:tbl>
    <w:p w14:paraId="2C82B52A" w14:textId="77777777" w:rsidR="00623F49" w:rsidRDefault="00623F49">
      <w:pPr>
        <w:pStyle w:val="Date"/>
        <w:spacing w:before="0"/>
      </w:pPr>
    </w:p>
    <w:p w14:paraId="2882D459" w14:textId="1CF574C5" w:rsidR="00E84C93" w:rsidRPr="00E84C93" w:rsidRDefault="00E84C93" w:rsidP="00E84C93">
      <w:pPr>
        <w:pStyle w:val="Re"/>
        <w:jc w:val="left"/>
        <w:rPr>
          <w:b w:val="0"/>
        </w:rPr>
      </w:pPr>
      <w:r w:rsidRPr="00E84C93">
        <w:rPr>
          <w:b w:val="0"/>
        </w:rPr>
        <w:t xml:space="preserve">Human Rights Unit, </w:t>
      </w:r>
      <w:r>
        <w:rPr>
          <w:b w:val="0"/>
        </w:rPr>
        <w:br/>
      </w:r>
      <w:r w:rsidRPr="00E84C93">
        <w:rPr>
          <w:b w:val="0"/>
        </w:rPr>
        <w:t xml:space="preserve">Integrity Law Branch, </w:t>
      </w:r>
      <w:r>
        <w:rPr>
          <w:b w:val="0"/>
        </w:rPr>
        <w:br/>
      </w:r>
      <w:r w:rsidRPr="00E84C93">
        <w:rPr>
          <w:b w:val="0"/>
        </w:rPr>
        <w:t>Integrity and Security Division</w:t>
      </w:r>
    </w:p>
    <w:p w14:paraId="6C45C367" w14:textId="4B6645A5" w:rsidR="0088367B" w:rsidRDefault="00E84C93" w:rsidP="0088367B">
      <w:pPr>
        <w:pStyle w:val="Re"/>
        <w:jc w:val="left"/>
        <w:rPr>
          <w:b w:val="0"/>
        </w:rPr>
      </w:pPr>
      <w:r w:rsidRPr="00E84C93">
        <w:rPr>
          <w:b w:val="0"/>
        </w:rPr>
        <w:t>Attorney-General’s Department</w:t>
      </w:r>
      <w:r w:rsidR="0088367B">
        <w:rPr>
          <w:b w:val="0"/>
        </w:rPr>
        <w:br/>
      </w:r>
      <w:r w:rsidR="0088367B" w:rsidRPr="00E84C93">
        <w:rPr>
          <w:b w:val="0"/>
        </w:rPr>
        <w:t>3-5 National Circuit, Barton, ACT 2600</w:t>
      </w:r>
    </w:p>
    <w:p w14:paraId="6738760F" w14:textId="77777777" w:rsidR="00E84C93" w:rsidRPr="00E84C93" w:rsidRDefault="00E84C93" w:rsidP="00911137">
      <w:pPr>
        <w:pStyle w:val="Salutation"/>
      </w:pPr>
      <w:r w:rsidRPr="00E84C93">
        <w:t>Email: FoRConsultation@ag.gov.au</w:t>
      </w:r>
    </w:p>
    <w:p w14:paraId="288FEA86" w14:textId="3C152073" w:rsidR="00911137" w:rsidRPr="00E84C93" w:rsidRDefault="005C2F26" w:rsidP="00911137">
      <w:pPr>
        <w:pStyle w:val="BodyText"/>
      </w:pPr>
      <w:r>
        <w:t>31 January 2020</w:t>
      </w:r>
    </w:p>
    <w:p w14:paraId="3BAC118B" w14:textId="56BCD647" w:rsidR="00071AC5" w:rsidRDefault="00E84C93" w:rsidP="00E84C93">
      <w:pPr>
        <w:pStyle w:val="Re"/>
      </w:pPr>
      <w:r>
        <w:t>S</w:t>
      </w:r>
      <w:r w:rsidR="00071AC5">
        <w:t>ubmission on</w:t>
      </w:r>
      <w:r w:rsidR="0088367B">
        <w:t xml:space="preserve"> the</w:t>
      </w:r>
      <w:r w:rsidR="00071AC5">
        <w:t xml:space="preserve"> </w:t>
      </w:r>
      <w:r w:rsidR="005C2F26">
        <w:t xml:space="preserve">Second Version of the </w:t>
      </w:r>
      <w:r w:rsidR="00071AC5">
        <w:t xml:space="preserve">Religious Discrimination </w:t>
      </w:r>
      <w:r w:rsidR="0088367B">
        <w:t xml:space="preserve">Bill </w:t>
      </w:r>
      <w:r w:rsidR="00071AC5">
        <w:t>Exposure Draft</w:t>
      </w:r>
    </w:p>
    <w:p w14:paraId="184AEC7B" w14:textId="1E3F65CB" w:rsidR="00911137" w:rsidRDefault="00911137" w:rsidP="00911137">
      <w:pPr>
        <w:pStyle w:val="BodyText"/>
      </w:pPr>
      <w:r>
        <w:t>Liberty Victoria is grateful for the opportunity to make this submission</w:t>
      </w:r>
      <w:r w:rsidR="004322A0">
        <w:t>.</w:t>
      </w:r>
      <w:r>
        <w:t xml:space="preserve"> </w:t>
      </w:r>
    </w:p>
    <w:p w14:paraId="0D5EE282" w14:textId="03B7DA46" w:rsidR="00911137" w:rsidRDefault="00911137" w:rsidP="00390FC3">
      <w:pPr>
        <w:pStyle w:val="BodyText"/>
        <w:spacing w:line="360" w:lineRule="auto"/>
      </w:pPr>
      <w:r>
        <w:t xml:space="preserve">Liberty Victoria is one of Australia’s leading human rights and civil liberties organisations, tracing our history to Australia’s first </w:t>
      </w:r>
      <w:r w:rsidR="004322A0">
        <w:t xml:space="preserve">council for </w:t>
      </w:r>
      <w:r>
        <w:t xml:space="preserve">civil liberties, founded in Melbourne in 1936. We seek to promote Australia’s compliance with the rights recognised by international law and in the treaties that Australia has ratified and has thereby accepted the legal obligation to implement. We are a frequent contributor to federal and state committees of inquiry, and we campaign extensively for better protection of human rights in the community. Further information may be found at </w:t>
      </w:r>
      <w:hyperlink r:id="rId9" w:history="1">
        <w:r w:rsidRPr="007E5656">
          <w:rPr>
            <w:rStyle w:val="Hyperlink"/>
          </w:rPr>
          <w:t>www.libertyvictoria.org.au</w:t>
        </w:r>
      </w:hyperlink>
      <w:r>
        <w:t>.</w:t>
      </w:r>
    </w:p>
    <w:p w14:paraId="0C245512" w14:textId="77777777" w:rsidR="00911137" w:rsidRDefault="00911137" w:rsidP="00390FC3">
      <w:pPr>
        <w:pStyle w:val="BodyText"/>
        <w:spacing w:line="360" w:lineRule="auto"/>
      </w:pPr>
      <w:r>
        <w:t>This is a public submission, not confidential.</w:t>
      </w:r>
    </w:p>
    <w:p w14:paraId="38470AFD" w14:textId="77777777" w:rsidR="001255A8" w:rsidRPr="00FD5295" w:rsidRDefault="001255A8" w:rsidP="00FD5295">
      <w:pPr>
        <w:pStyle w:val="Heading1"/>
        <w:rPr>
          <w:rFonts w:ascii="Helvetica" w:hAnsi="Helvetica"/>
          <w:lang w:eastAsia="en-US"/>
        </w:rPr>
      </w:pPr>
      <w:r w:rsidRPr="00FD5295">
        <w:rPr>
          <w:rFonts w:ascii="Helvetica" w:hAnsi="Helvetica"/>
          <w:lang w:eastAsia="en-US"/>
        </w:rPr>
        <w:lastRenderedPageBreak/>
        <w:t>Executive Summary</w:t>
      </w:r>
    </w:p>
    <w:p w14:paraId="2124AF28" w14:textId="42311A77" w:rsidR="005C2F26" w:rsidRPr="005C2F26" w:rsidRDefault="005C2F26" w:rsidP="00FD5295">
      <w:pPr>
        <w:pStyle w:val="BodyText"/>
        <w:spacing w:line="360" w:lineRule="auto"/>
        <w:rPr>
          <w:lang w:eastAsia="en-US"/>
        </w:rPr>
      </w:pPr>
      <w:r w:rsidRPr="005C2F26">
        <w:rPr>
          <w:lang w:eastAsia="en-US"/>
        </w:rPr>
        <w:t xml:space="preserve">Although this </w:t>
      </w:r>
      <w:r w:rsidR="0004576A">
        <w:rPr>
          <w:lang w:eastAsia="en-US"/>
        </w:rPr>
        <w:t xml:space="preserve">proposed </w:t>
      </w:r>
      <w:r w:rsidRPr="005C2F26">
        <w:rPr>
          <w:lang w:eastAsia="en-US"/>
        </w:rPr>
        <w:t xml:space="preserve">Bill may have started as a stock-standard anti-discrimination bill for the attribute of religious belief or activity (as </w:t>
      </w:r>
      <w:r>
        <w:rPr>
          <w:lang w:eastAsia="en-US"/>
        </w:rPr>
        <w:t>has</w:t>
      </w:r>
      <w:r w:rsidRPr="005C2F26">
        <w:rPr>
          <w:lang w:eastAsia="en-US"/>
        </w:rPr>
        <w:t xml:space="preserve"> long </w:t>
      </w:r>
      <w:r>
        <w:rPr>
          <w:lang w:eastAsia="en-US"/>
        </w:rPr>
        <w:t xml:space="preserve">been </w:t>
      </w:r>
      <w:r w:rsidRPr="005C2F26">
        <w:rPr>
          <w:lang w:eastAsia="en-US"/>
        </w:rPr>
        <w:t xml:space="preserve">a part of the Victorian </w:t>
      </w:r>
      <w:r w:rsidRPr="00C7009C">
        <w:rPr>
          <w:i/>
          <w:lang w:eastAsia="en-US"/>
        </w:rPr>
        <w:t>Equal Opportunity Act</w:t>
      </w:r>
      <w:r w:rsidRPr="005C2F26">
        <w:rPr>
          <w:lang w:eastAsia="en-US"/>
        </w:rPr>
        <w:t>, for example) it has developed a number of cancerous excrescences which made it unsupportable in the first version, and make it even less supportable in the second. It can only be saved, if at all, by radical surgery such as an optimistic surgeon might attempt for late stage metastatic cancer.</w:t>
      </w:r>
    </w:p>
    <w:p w14:paraId="1760606F" w14:textId="118ABB77" w:rsidR="005C2F26" w:rsidRDefault="005C2F26" w:rsidP="00FD5295">
      <w:pPr>
        <w:pStyle w:val="BodyText"/>
        <w:spacing w:line="360" w:lineRule="auto"/>
        <w:rPr>
          <w:lang w:eastAsia="en-US"/>
        </w:rPr>
      </w:pPr>
      <w:r w:rsidRPr="005C2F26">
        <w:rPr>
          <w:lang w:eastAsia="en-US"/>
        </w:rPr>
        <w:t>With similar optimism Liberty therefore recommends</w:t>
      </w:r>
      <w:r w:rsidR="00B6777C">
        <w:rPr>
          <w:lang w:eastAsia="en-US"/>
        </w:rPr>
        <w:t>, for the proposed sections or sub-sections shown,</w:t>
      </w:r>
      <w:r w:rsidRPr="005C2F26">
        <w:rPr>
          <w:lang w:eastAsia="en-US"/>
        </w:rPr>
        <w:t xml:space="preserve"> the following excisions</w:t>
      </w:r>
      <w:r w:rsidR="00DF1881">
        <w:rPr>
          <w:lang w:eastAsia="en-US"/>
        </w:rPr>
        <w:t xml:space="preserve"> or surgical amendments</w:t>
      </w:r>
      <w:r w:rsidRPr="005C2F26">
        <w:rPr>
          <w:lang w:eastAsia="en-US"/>
        </w:rPr>
        <w:t>:</w:t>
      </w:r>
    </w:p>
    <w:p w14:paraId="4BEBE27D" w14:textId="0EA485F9" w:rsidR="00EA77AE" w:rsidRDefault="00EA77AE" w:rsidP="00FD5295">
      <w:pPr>
        <w:pStyle w:val="BodyText"/>
        <w:spacing w:line="360" w:lineRule="auto"/>
        <w:ind w:left="567"/>
        <w:rPr>
          <w:lang w:eastAsia="en-US"/>
        </w:rPr>
      </w:pPr>
      <w:r w:rsidRPr="00BC0BFC">
        <w:rPr>
          <w:b/>
          <w:lang w:eastAsia="en-US"/>
        </w:rPr>
        <w:t>3</w:t>
      </w:r>
      <w:r>
        <w:rPr>
          <w:lang w:eastAsia="en-US"/>
        </w:rPr>
        <w:t>(1)</w:t>
      </w:r>
      <w:r w:rsidR="00852C6B">
        <w:rPr>
          <w:lang w:eastAsia="en-US"/>
        </w:rPr>
        <w:t>(b)</w:t>
      </w:r>
      <w:r>
        <w:rPr>
          <w:lang w:eastAsia="en-US"/>
        </w:rPr>
        <w:t>(c)</w:t>
      </w:r>
      <w:r w:rsidR="000C0F18">
        <w:rPr>
          <w:lang w:eastAsia="en-US"/>
        </w:rPr>
        <w:t>—</w:t>
      </w:r>
      <w:r w:rsidR="000C0F18" w:rsidRPr="001255A8">
        <w:rPr>
          <w:i/>
          <w:lang w:eastAsia="en-US"/>
        </w:rPr>
        <w:t>OMIT</w:t>
      </w:r>
    </w:p>
    <w:p w14:paraId="7635B403" w14:textId="494AFA0A" w:rsidR="00EA77AE" w:rsidRDefault="00EA77AE" w:rsidP="00FD5295">
      <w:pPr>
        <w:pStyle w:val="BodyText"/>
        <w:spacing w:line="360" w:lineRule="auto"/>
        <w:ind w:left="567"/>
        <w:rPr>
          <w:lang w:eastAsia="en-US"/>
        </w:rPr>
      </w:pPr>
      <w:r w:rsidRPr="00BC0BFC">
        <w:rPr>
          <w:b/>
          <w:lang w:eastAsia="en-US"/>
        </w:rPr>
        <w:t>4</w:t>
      </w:r>
      <w:r>
        <w:rPr>
          <w:lang w:eastAsia="en-US"/>
        </w:rPr>
        <w:t xml:space="preserve"> </w:t>
      </w:r>
      <w:r w:rsidR="00B6777C">
        <w:rPr>
          <w:lang w:eastAsia="en-US"/>
        </w:rPr>
        <w:t>—</w:t>
      </w:r>
      <w:r w:rsidR="000C0F18" w:rsidRPr="00BE2AEC">
        <w:rPr>
          <w:i/>
          <w:lang w:eastAsia="en-US"/>
        </w:rPr>
        <w:t>OMIT</w:t>
      </w:r>
      <w:r w:rsidR="000C0F18">
        <w:rPr>
          <w:i/>
          <w:lang w:eastAsia="en-US"/>
        </w:rPr>
        <w:t xml:space="preserve"> </w:t>
      </w:r>
      <w:r w:rsidR="000C0F18" w:rsidRPr="001255A8">
        <w:rPr>
          <w:lang w:eastAsia="en-US"/>
        </w:rPr>
        <w:t>the</w:t>
      </w:r>
      <w:r w:rsidR="000C0F18">
        <w:rPr>
          <w:lang w:eastAsia="en-US"/>
        </w:rPr>
        <w:t xml:space="preserve"> </w:t>
      </w:r>
      <w:r>
        <w:rPr>
          <w:lang w:eastAsia="en-US"/>
        </w:rPr>
        <w:t>4</w:t>
      </w:r>
      <w:r w:rsidRPr="001255A8">
        <w:rPr>
          <w:vertAlign w:val="superscript"/>
          <w:lang w:eastAsia="en-US"/>
        </w:rPr>
        <w:t>th</w:t>
      </w:r>
      <w:r>
        <w:rPr>
          <w:lang w:eastAsia="en-US"/>
        </w:rPr>
        <w:t xml:space="preserve"> paragraph and first sentence of 7</w:t>
      </w:r>
      <w:r w:rsidRPr="001255A8">
        <w:rPr>
          <w:vertAlign w:val="superscript"/>
          <w:lang w:eastAsia="en-US"/>
        </w:rPr>
        <w:t>th</w:t>
      </w:r>
      <w:r>
        <w:rPr>
          <w:lang w:eastAsia="en-US"/>
        </w:rPr>
        <w:t xml:space="preserve"> paragraph</w:t>
      </w:r>
    </w:p>
    <w:p w14:paraId="7624AC34" w14:textId="300633EF" w:rsidR="00EA77AE" w:rsidRDefault="00EA77AE" w:rsidP="00FD5295">
      <w:pPr>
        <w:pStyle w:val="BodyText"/>
        <w:spacing w:line="360" w:lineRule="auto"/>
        <w:ind w:left="1134" w:hanging="567"/>
        <w:rPr>
          <w:lang w:eastAsia="en-US"/>
        </w:rPr>
      </w:pPr>
      <w:r w:rsidRPr="00BC0BFC">
        <w:rPr>
          <w:b/>
          <w:lang w:eastAsia="en-US"/>
        </w:rPr>
        <w:t>5</w:t>
      </w:r>
      <w:r>
        <w:rPr>
          <w:lang w:eastAsia="en-US"/>
        </w:rPr>
        <w:t>(1)</w:t>
      </w:r>
      <w:r w:rsidR="00DF1881">
        <w:rPr>
          <w:lang w:eastAsia="en-US"/>
        </w:rPr>
        <w:t xml:space="preserve">: </w:t>
      </w:r>
      <w:r w:rsidR="000C0F18" w:rsidRPr="001255A8">
        <w:rPr>
          <w:i/>
          <w:lang w:eastAsia="en-US"/>
        </w:rPr>
        <w:t>OMIT</w:t>
      </w:r>
      <w:r w:rsidR="000C0F18">
        <w:rPr>
          <w:lang w:eastAsia="en-US"/>
        </w:rPr>
        <w:t xml:space="preserve"> the whole of each definition beginning with the word</w:t>
      </w:r>
      <w:r w:rsidR="00B6777C">
        <w:rPr>
          <w:lang w:eastAsia="en-US"/>
        </w:rPr>
        <w:t>(s)</w:t>
      </w:r>
      <w:r w:rsidR="000C0F18">
        <w:rPr>
          <w:lang w:eastAsia="en-US"/>
        </w:rPr>
        <w:t xml:space="preserve"> </w:t>
      </w:r>
      <w:r>
        <w:rPr>
          <w:lang w:eastAsia="en-US"/>
        </w:rPr>
        <w:t>“Commissioner”; “conscientiously…”; “Note 2” of “discriminate”; “employer conduct rule”; “</w:t>
      </w:r>
      <w:r w:rsidR="00BF39F0">
        <w:rPr>
          <w:lang w:eastAsia="en-US"/>
        </w:rPr>
        <w:t>health practitioner</w:t>
      </w:r>
      <w:r w:rsidR="00CF25CD">
        <w:rPr>
          <w:lang w:eastAsia="en-US"/>
        </w:rPr>
        <w:t>“; “</w:t>
      </w:r>
      <w:r>
        <w:rPr>
          <w:lang w:eastAsia="en-US"/>
        </w:rPr>
        <w:t xml:space="preserve">health practitioner conduct rule”; </w:t>
      </w:r>
      <w:r w:rsidR="00CF25CD">
        <w:rPr>
          <w:lang w:eastAsia="en-US"/>
        </w:rPr>
        <w:t>“health service”;</w:t>
      </w:r>
      <w:r w:rsidR="000C0F18">
        <w:rPr>
          <w:lang w:eastAsia="en-US"/>
        </w:rPr>
        <w:t xml:space="preserve">  “qualifying</w:t>
      </w:r>
      <w:r w:rsidR="00B6777C">
        <w:rPr>
          <w:lang w:eastAsia="en-US"/>
        </w:rPr>
        <w:t xml:space="preserve"> body conduct rule</w:t>
      </w:r>
      <w:r w:rsidR="000C0F18">
        <w:rPr>
          <w:lang w:eastAsia="en-US"/>
        </w:rPr>
        <w:t>”; “relevant…”; “statement…”; “vilify”</w:t>
      </w:r>
    </w:p>
    <w:p w14:paraId="111069C8" w14:textId="53487C9B" w:rsidR="000C0F18" w:rsidRDefault="000C0F18" w:rsidP="00FD5295">
      <w:pPr>
        <w:pStyle w:val="BodyText"/>
        <w:spacing w:line="360" w:lineRule="auto"/>
        <w:ind w:left="567"/>
        <w:rPr>
          <w:lang w:eastAsia="en-US"/>
        </w:rPr>
      </w:pPr>
      <w:r w:rsidRPr="00BC0BFC">
        <w:rPr>
          <w:b/>
          <w:lang w:eastAsia="en-US"/>
        </w:rPr>
        <w:t>5</w:t>
      </w:r>
      <w:r>
        <w:rPr>
          <w:lang w:eastAsia="en-US"/>
        </w:rPr>
        <w:t>(2)</w:t>
      </w:r>
      <w:r w:rsidR="00B6777C" w:rsidRPr="00B6777C">
        <w:rPr>
          <w:lang w:eastAsia="en-US"/>
        </w:rPr>
        <w:t xml:space="preserve"> </w:t>
      </w:r>
      <w:r w:rsidR="00B6777C">
        <w:rPr>
          <w:lang w:eastAsia="en-US"/>
        </w:rPr>
        <w:t>—</w:t>
      </w:r>
      <w:r w:rsidR="00B6777C" w:rsidRPr="00D75D32">
        <w:rPr>
          <w:i/>
          <w:lang w:eastAsia="en-US"/>
        </w:rPr>
        <w:t>OMIT</w:t>
      </w:r>
    </w:p>
    <w:p w14:paraId="399DF251" w14:textId="5DE9AE99" w:rsidR="000C0F18" w:rsidRDefault="000C0F18" w:rsidP="00FD5295">
      <w:pPr>
        <w:pStyle w:val="BodyText"/>
        <w:spacing w:line="360" w:lineRule="auto"/>
        <w:ind w:left="567"/>
        <w:rPr>
          <w:lang w:eastAsia="en-US"/>
        </w:rPr>
      </w:pPr>
      <w:r>
        <w:rPr>
          <w:lang w:eastAsia="en-US"/>
        </w:rPr>
        <w:t xml:space="preserve">In </w:t>
      </w:r>
      <w:r w:rsidRPr="00BC0BFC">
        <w:rPr>
          <w:b/>
          <w:lang w:eastAsia="en-US"/>
        </w:rPr>
        <w:t>8</w:t>
      </w:r>
      <w:r>
        <w:rPr>
          <w:lang w:eastAsia="en-US"/>
        </w:rPr>
        <w:t>(2) for “</w:t>
      </w:r>
      <w:r w:rsidRPr="000C0F18">
        <w:rPr>
          <w:lang w:eastAsia="en-US"/>
        </w:rPr>
        <w:t>Subject to subsections (3), (4), (6) and (7), w</w:t>
      </w:r>
      <w:r>
        <w:rPr>
          <w:lang w:eastAsia="en-US"/>
        </w:rPr>
        <w:t>” substitute “W”</w:t>
      </w:r>
    </w:p>
    <w:p w14:paraId="71EA504E" w14:textId="770B5B93" w:rsidR="000C0F18" w:rsidRDefault="000C0F18" w:rsidP="00FD5295">
      <w:pPr>
        <w:pStyle w:val="BodyText"/>
        <w:spacing w:line="360" w:lineRule="auto"/>
        <w:ind w:left="567"/>
        <w:rPr>
          <w:lang w:eastAsia="en-US"/>
        </w:rPr>
      </w:pPr>
      <w:r w:rsidRPr="00BC0BFC">
        <w:rPr>
          <w:b/>
          <w:lang w:eastAsia="en-US"/>
        </w:rPr>
        <w:t>8</w:t>
      </w:r>
      <w:r>
        <w:rPr>
          <w:lang w:eastAsia="en-US"/>
        </w:rPr>
        <w:t>(2)(e)</w:t>
      </w:r>
      <w:r w:rsidR="00B6777C" w:rsidRPr="00B6777C">
        <w:rPr>
          <w:lang w:eastAsia="en-US"/>
        </w:rPr>
        <w:t xml:space="preserve"> </w:t>
      </w:r>
      <w:r w:rsidR="00B6777C">
        <w:rPr>
          <w:lang w:eastAsia="en-US"/>
        </w:rPr>
        <w:t>—</w:t>
      </w:r>
      <w:r w:rsidR="00B6777C" w:rsidRPr="00D75D32">
        <w:rPr>
          <w:i/>
          <w:lang w:eastAsia="en-US"/>
        </w:rPr>
        <w:t>OMIT</w:t>
      </w:r>
    </w:p>
    <w:p w14:paraId="2A97903C" w14:textId="623D3B73" w:rsidR="000C0F18" w:rsidRDefault="000C0F18" w:rsidP="00FD5295">
      <w:pPr>
        <w:pStyle w:val="BodyText"/>
        <w:spacing w:line="360" w:lineRule="auto"/>
        <w:ind w:left="567"/>
        <w:rPr>
          <w:lang w:eastAsia="en-US"/>
        </w:rPr>
      </w:pPr>
      <w:r w:rsidRPr="00BC0BFC">
        <w:rPr>
          <w:b/>
          <w:lang w:eastAsia="en-US"/>
        </w:rPr>
        <w:t>8</w:t>
      </w:r>
      <w:r>
        <w:rPr>
          <w:lang w:eastAsia="en-US"/>
        </w:rPr>
        <w:t>(3)</w:t>
      </w:r>
      <w:r w:rsidR="00B6777C" w:rsidRPr="00B6777C">
        <w:rPr>
          <w:lang w:eastAsia="en-US"/>
        </w:rPr>
        <w:t xml:space="preserve"> </w:t>
      </w:r>
      <w:r w:rsidR="00BC0BFC">
        <w:rPr>
          <w:lang w:eastAsia="en-US"/>
        </w:rPr>
        <w:t>(4)</w:t>
      </w:r>
      <w:r w:rsidR="00BC0BFC" w:rsidRPr="00B6777C">
        <w:rPr>
          <w:lang w:eastAsia="en-US"/>
        </w:rPr>
        <w:t xml:space="preserve"> </w:t>
      </w:r>
      <w:r w:rsidR="00BC0BFC">
        <w:rPr>
          <w:lang w:eastAsia="en-US"/>
        </w:rPr>
        <w:t>(5)</w:t>
      </w:r>
      <w:r w:rsidR="00BC0BFC" w:rsidRPr="00BC0BFC">
        <w:rPr>
          <w:lang w:eastAsia="en-US"/>
        </w:rPr>
        <w:t xml:space="preserve"> </w:t>
      </w:r>
      <w:r w:rsidR="00BC0BFC">
        <w:rPr>
          <w:lang w:eastAsia="en-US"/>
        </w:rPr>
        <w:t>(6)</w:t>
      </w:r>
      <w:r w:rsidR="00BC0BFC" w:rsidRPr="00BC0BFC">
        <w:rPr>
          <w:lang w:eastAsia="en-US"/>
        </w:rPr>
        <w:t xml:space="preserve"> </w:t>
      </w:r>
      <w:r w:rsidR="00BC0BFC">
        <w:rPr>
          <w:lang w:eastAsia="en-US"/>
        </w:rPr>
        <w:t>(7)</w:t>
      </w:r>
      <w:r w:rsidR="00BC0BFC" w:rsidRPr="00B6777C">
        <w:rPr>
          <w:lang w:eastAsia="en-US"/>
        </w:rPr>
        <w:t xml:space="preserve"> </w:t>
      </w:r>
      <w:r w:rsidR="00B6777C">
        <w:rPr>
          <w:lang w:eastAsia="en-US"/>
        </w:rPr>
        <w:t>—</w:t>
      </w:r>
      <w:r w:rsidR="00B6777C" w:rsidRPr="00D75D32">
        <w:rPr>
          <w:i/>
          <w:lang w:eastAsia="en-US"/>
        </w:rPr>
        <w:t>OMIT</w:t>
      </w:r>
    </w:p>
    <w:p w14:paraId="7291AAA0" w14:textId="2BCE5D90" w:rsidR="00B6777C" w:rsidRDefault="00B6777C" w:rsidP="00FD5295">
      <w:pPr>
        <w:pStyle w:val="BodyText"/>
        <w:spacing w:line="360" w:lineRule="auto"/>
        <w:ind w:left="567"/>
        <w:rPr>
          <w:lang w:eastAsia="en-US"/>
        </w:rPr>
      </w:pPr>
      <w:r w:rsidRPr="00BC0BFC">
        <w:rPr>
          <w:b/>
          <w:lang w:eastAsia="en-US"/>
        </w:rPr>
        <w:t>11</w:t>
      </w:r>
      <w:r>
        <w:rPr>
          <w:lang w:eastAsia="en-US"/>
        </w:rPr>
        <w:t>—</w:t>
      </w:r>
      <w:r>
        <w:rPr>
          <w:i/>
          <w:lang w:eastAsia="en-US"/>
        </w:rPr>
        <w:t>OMIT</w:t>
      </w:r>
    </w:p>
    <w:p w14:paraId="26E839C7" w14:textId="0BD06C35" w:rsidR="00B6777C" w:rsidRPr="00B6777C" w:rsidRDefault="00B6777C" w:rsidP="00FD5295">
      <w:pPr>
        <w:pStyle w:val="BodyText"/>
        <w:spacing w:line="360" w:lineRule="auto"/>
        <w:ind w:left="567"/>
        <w:rPr>
          <w:lang w:eastAsia="en-US"/>
        </w:rPr>
      </w:pPr>
      <w:r w:rsidRPr="00BC0BFC">
        <w:rPr>
          <w:b/>
          <w:lang w:eastAsia="en-US"/>
        </w:rPr>
        <w:t>29</w:t>
      </w:r>
      <w:r>
        <w:rPr>
          <w:lang w:eastAsia="en-US"/>
        </w:rPr>
        <w:t>—</w:t>
      </w:r>
      <w:r>
        <w:rPr>
          <w:i/>
          <w:lang w:eastAsia="en-US"/>
        </w:rPr>
        <w:t>OMIT</w:t>
      </w:r>
    </w:p>
    <w:p w14:paraId="3261BCA8" w14:textId="467A4E58" w:rsidR="00EA77AE" w:rsidRDefault="00B6777C" w:rsidP="00FD5295">
      <w:pPr>
        <w:pStyle w:val="BodyText"/>
        <w:spacing w:line="360" w:lineRule="auto"/>
        <w:ind w:left="567"/>
        <w:rPr>
          <w:lang w:eastAsia="en-US"/>
        </w:rPr>
      </w:pPr>
      <w:r w:rsidRPr="00BC0BFC">
        <w:rPr>
          <w:b/>
          <w:lang w:eastAsia="en-US"/>
        </w:rPr>
        <w:t>32</w:t>
      </w:r>
      <w:r>
        <w:rPr>
          <w:lang w:eastAsia="en-US"/>
        </w:rPr>
        <w:t>(6)(7)(8)(9)(10)(11)</w:t>
      </w:r>
      <w:r w:rsidRPr="00B6777C">
        <w:rPr>
          <w:lang w:eastAsia="en-US"/>
        </w:rPr>
        <w:t xml:space="preserve"> </w:t>
      </w:r>
      <w:r>
        <w:rPr>
          <w:lang w:eastAsia="en-US"/>
        </w:rPr>
        <w:t>—</w:t>
      </w:r>
      <w:r>
        <w:rPr>
          <w:i/>
          <w:lang w:eastAsia="en-US"/>
        </w:rPr>
        <w:t>OMIT</w:t>
      </w:r>
    </w:p>
    <w:p w14:paraId="5EB5BA58" w14:textId="7CBA9A28" w:rsidR="00745449" w:rsidRPr="001255A8" w:rsidRDefault="00745449" w:rsidP="00FD5295">
      <w:pPr>
        <w:pStyle w:val="BodyText"/>
        <w:spacing w:line="360" w:lineRule="auto"/>
        <w:ind w:left="567"/>
        <w:rPr>
          <w:lang w:eastAsia="en-US"/>
        </w:rPr>
      </w:pPr>
      <w:r w:rsidRPr="00BC0BFC">
        <w:rPr>
          <w:b/>
          <w:lang w:eastAsia="en-US"/>
        </w:rPr>
        <w:t>33</w:t>
      </w:r>
      <w:r>
        <w:rPr>
          <w:lang w:eastAsia="en-US"/>
        </w:rPr>
        <w:t>(2)(3)(4)(5)</w:t>
      </w:r>
      <w:r w:rsidRPr="00745449">
        <w:rPr>
          <w:lang w:eastAsia="en-US"/>
        </w:rPr>
        <w:t xml:space="preserve"> </w:t>
      </w:r>
      <w:r>
        <w:rPr>
          <w:lang w:eastAsia="en-US"/>
        </w:rPr>
        <w:t>—</w:t>
      </w:r>
      <w:r>
        <w:rPr>
          <w:i/>
          <w:lang w:eastAsia="en-US"/>
        </w:rPr>
        <w:t>OMIT</w:t>
      </w:r>
    </w:p>
    <w:p w14:paraId="1DB8E8B8" w14:textId="7B63E845" w:rsidR="00745449" w:rsidRDefault="00745449" w:rsidP="00FD5295">
      <w:pPr>
        <w:pStyle w:val="BodyText"/>
        <w:spacing w:line="360" w:lineRule="auto"/>
        <w:ind w:left="567"/>
        <w:rPr>
          <w:lang w:eastAsia="en-US"/>
        </w:rPr>
      </w:pPr>
      <w:r w:rsidRPr="00BC0BFC">
        <w:rPr>
          <w:b/>
          <w:lang w:eastAsia="en-US"/>
        </w:rPr>
        <w:t>Part 4</w:t>
      </w:r>
      <w:r>
        <w:rPr>
          <w:i/>
          <w:lang w:eastAsia="en-US"/>
        </w:rPr>
        <w:t>—OMIT</w:t>
      </w:r>
    </w:p>
    <w:p w14:paraId="42D293E1" w14:textId="77D0CB0D" w:rsidR="00745449" w:rsidRDefault="00745449" w:rsidP="00FD5295">
      <w:pPr>
        <w:pStyle w:val="BodyText"/>
        <w:spacing w:line="360" w:lineRule="auto"/>
        <w:ind w:left="567"/>
        <w:rPr>
          <w:lang w:eastAsia="en-US"/>
        </w:rPr>
      </w:pPr>
      <w:r w:rsidRPr="00BC0BFC">
        <w:rPr>
          <w:b/>
          <w:lang w:eastAsia="en-US"/>
        </w:rPr>
        <w:t>Part 6</w:t>
      </w:r>
      <w:r>
        <w:rPr>
          <w:lang w:eastAsia="en-US"/>
        </w:rPr>
        <w:t>—</w:t>
      </w:r>
      <w:r>
        <w:rPr>
          <w:i/>
          <w:lang w:eastAsia="en-US"/>
        </w:rPr>
        <w:t>OMIT</w:t>
      </w:r>
    </w:p>
    <w:p w14:paraId="200A9E42" w14:textId="2210EB95" w:rsidR="00745449" w:rsidRDefault="001255A8" w:rsidP="00FD5295">
      <w:pPr>
        <w:pStyle w:val="BodyText"/>
        <w:spacing w:line="360" w:lineRule="auto"/>
        <w:ind w:left="567"/>
        <w:rPr>
          <w:lang w:eastAsia="en-US"/>
        </w:rPr>
      </w:pPr>
      <w:r w:rsidRPr="00BC0BFC">
        <w:rPr>
          <w:b/>
          <w:lang w:eastAsia="en-US"/>
        </w:rPr>
        <w:lastRenderedPageBreak/>
        <w:t>61</w:t>
      </w:r>
      <w:r>
        <w:rPr>
          <w:lang w:eastAsia="en-US"/>
        </w:rPr>
        <w:t xml:space="preserve">: </w:t>
      </w:r>
      <w:r w:rsidRPr="001255A8">
        <w:rPr>
          <w:i/>
          <w:lang w:eastAsia="en-US"/>
        </w:rPr>
        <w:t>OMIT</w:t>
      </w:r>
      <w:r>
        <w:rPr>
          <w:lang w:eastAsia="en-US"/>
        </w:rPr>
        <w:t xml:space="preserve"> the Note</w:t>
      </w:r>
    </w:p>
    <w:p w14:paraId="7E2A7BA8" w14:textId="169E8F95" w:rsidR="001255A8" w:rsidRDefault="003743BA" w:rsidP="00FD5295">
      <w:pPr>
        <w:pStyle w:val="BodyText"/>
        <w:spacing w:line="360" w:lineRule="auto"/>
        <w:rPr>
          <w:lang w:eastAsia="en-US"/>
        </w:rPr>
      </w:pPr>
      <w:r>
        <w:rPr>
          <w:lang w:eastAsia="en-US"/>
        </w:rPr>
        <w:t xml:space="preserve">If the exposure draft bill survives this radical surgery, the supporting materials will be redundant. The two other bills in the “package,” that is, </w:t>
      </w:r>
      <w:r w:rsidRPr="00C90207">
        <w:rPr>
          <w:b/>
          <w:lang w:eastAsia="en-US"/>
        </w:rPr>
        <w:t>should not proceed</w:t>
      </w:r>
      <w:r>
        <w:rPr>
          <w:lang w:eastAsia="en-US"/>
        </w:rPr>
        <w:t>.</w:t>
      </w:r>
    </w:p>
    <w:p w14:paraId="2CAB4179" w14:textId="0DE62D37" w:rsidR="003743BA" w:rsidRDefault="003743BA" w:rsidP="00FD5295">
      <w:pPr>
        <w:pStyle w:val="BodyText"/>
        <w:spacing w:line="360" w:lineRule="auto"/>
        <w:rPr>
          <w:lang w:eastAsia="en-US"/>
        </w:rPr>
      </w:pPr>
      <w:r>
        <w:rPr>
          <w:lang w:eastAsia="en-US"/>
        </w:rPr>
        <w:t xml:space="preserve">If radical surgery is declined, then the whole package is dead, and </w:t>
      </w:r>
      <w:r w:rsidRPr="00C90207">
        <w:rPr>
          <w:b/>
          <w:lang w:eastAsia="en-US"/>
        </w:rPr>
        <w:t>should not be introduced</w:t>
      </w:r>
      <w:r>
        <w:rPr>
          <w:lang w:eastAsia="en-US"/>
        </w:rPr>
        <w:t xml:space="preserve"> at all.</w:t>
      </w:r>
    </w:p>
    <w:p w14:paraId="5BF6F895" w14:textId="77777777" w:rsidR="003743BA" w:rsidRPr="001255A8" w:rsidRDefault="003743BA" w:rsidP="00FD5295">
      <w:pPr>
        <w:pStyle w:val="BodyText"/>
        <w:spacing w:line="360" w:lineRule="auto"/>
        <w:rPr>
          <w:lang w:eastAsia="en-US"/>
        </w:rPr>
      </w:pPr>
    </w:p>
    <w:p w14:paraId="3CE45C89" w14:textId="77777777" w:rsidR="005C2F26" w:rsidRPr="005C2F26" w:rsidRDefault="005C2F26" w:rsidP="00FD5295">
      <w:pPr>
        <w:spacing w:after="0" w:line="360" w:lineRule="auto"/>
        <w:jc w:val="left"/>
        <w:rPr>
          <w:rFonts w:ascii="Helvetica" w:eastAsia="Times New Roman" w:hAnsi="Helvetica" w:cs="Times New Roman"/>
          <w:color w:val="000000"/>
          <w:sz w:val="18"/>
          <w:szCs w:val="18"/>
          <w:lang w:eastAsia="en-US"/>
        </w:rPr>
      </w:pPr>
    </w:p>
    <w:p w14:paraId="25755303" w14:textId="77777777" w:rsidR="005C2F26" w:rsidRDefault="005C2F26" w:rsidP="00390FC3">
      <w:pPr>
        <w:pStyle w:val="BodyText"/>
        <w:spacing w:line="360" w:lineRule="auto"/>
      </w:pPr>
    </w:p>
    <w:p w14:paraId="20DD70E5" w14:textId="6A40B890" w:rsidR="003F44BF" w:rsidRDefault="003F44BF" w:rsidP="00390FC3">
      <w:pPr>
        <w:pStyle w:val="Heading1"/>
        <w:spacing w:line="360" w:lineRule="auto"/>
      </w:pPr>
      <w:r>
        <w:t>Introduction</w:t>
      </w:r>
    </w:p>
    <w:p w14:paraId="5329CEE5" w14:textId="6038D409" w:rsidR="00071AC5" w:rsidRDefault="0023163D" w:rsidP="00390FC3">
      <w:pPr>
        <w:pStyle w:val="BodyText"/>
        <w:numPr>
          <w:ilvl w:val="0"/>
          <w:numId w:val="4"/>
        </w:numPr>
        <w:spacing w:line="360" w:lineRule="auto"/>
      </w:pPr>
      <w:r>
        <w:t xml:space="preserve">In earlier remarks on the planned, now </w:t>
      </w:r>
      <w:r w:rsidR="009A578D">
        <w:t xml:space="preserve">First, </w:t>
      </w:r>
      <w:r>
        <w:t xml:space="preserve">Exposure Draft </w:t>
      </w:r>
      <w:r w:rsidR="000B1AB8">
        <w:t>B</w:t>
      </w:r>
      <w:r>
        <w:t xml:space="preserve">ill </w:t>
      </w:r>
      <w:r w:rsidR="007E6296">
        <w:t>(“</w:t>
      </w:r>
      <w:r w:rsidR="007E6296" w:rsidRPr="00B03B6F">
        <w:rPr>
          <w:b/>
        </w:rPr>
        <w:t>the EDB</w:t>
      </w:r>
      <w:r w:rsidR="007E6296">
        <w:t xml:space="preserve">”) </w:t>
      </w:r>
      <w:r>
        <w:t>the A</w:t>
      </w:r>
      <w:r w:rsidR="00B03B6F">
        <w:t>ttorney-</w:t>
      </w:r>
      <w:r>
        <w:t>G</w:t>
      </w:r>
      <w:r w:rsidR="00B03B6F">
        <w:t>eneral</w:t>
      </w:r>
      <w:r>
        <w:t xml:space="preserve"> appeared to contemplate an ordinary anti-discrimination law along the lines of existing federal (and </w:t>
      </w:r>
      <w:r w:rsidR="009A578D">
        <w:t xml:space="preserve">most </w:t>
      </w:r>
      <w:r>
        <w:t>State/Territory) legislation. In a consultation meeting in Mel</w:t>
      </w:r>
      <w:r w:rsidR="00B03B6F">
        <w:t>bourne on Wednesday 4 September</w:t>
      </w:r>
      <w:r w:rsidR="00C90207">
        <w:t xml:space="preserve"> 2019</w:t>
      </w:r>
      <w:r>
        <w:t xml:space="preserve"> he appeared to confirm this intention, and downplayed the significance of the EDB’s departure f</w:t>
      </w:r>
      <w:r w:rsidR="007E6296">
        <w:t>rom that “stock standard” model.</w:t>
      </w:r>
    </w:p>
    <w:p w14:paraId="05F31963" w14:textId="32864B4C" w:rsidR="0023163D" w:rsidRDefault="0023163D" w:rsidP="00390FC3">
      <w:pPr>
        <w:pStyle w:val="BodyText"/>
        <w:numPr>
          <w:ilvl w:val="0"/>
          <w:numId w:val="4"/>
        </w:numPr>
        <w:spacing w:line="360" w:lineRule="auto"/>
      </w:pPr>
      <w:r>
        <w:t xml:space="preserve">Liberty Victoria </w:t>
      </w:r>
      <w:r w:rsidR="004322A0">
        <w:t>submits</w:t>
      </w:r>
      <w:r w:rsidR="00911137">
        <w:t>, however, that</w:t>
      </w:r>
      <w:r>
        <w:t xml:space="preserve"> there</w:t>
      </w:r>
      <w:r w:rsidR="00B03B6F">
        <w:t xml:space="preserve"> are many problems with the </w:t>
      </w:r>
      <w:r w:rsidR="009A578D">
        <w:t xml:space="preserve">first </w:t>
      </w:r>
      <w:r w:rsidR="00B03B6F">
        <w:t>EDB</w:t>
      </w:r>
      <w:r w:rsidR="009A578D">
        <w:t>, and more with the second</w:t>
      </w:r>
      <w:r w:rsidR="00B03B6F">
        <w:t>.</w:t>
      </w:r>
      <w:r>
        <w:t xml:space="preserve"> </w:t>
      </w:r>
      <w:r w:rsidR="00B03B6F">
        <w:t xml:space="preserve">They are serious, </w:t>
      </w:r>
      <w:r>
        <w:t xml:space="preserve">as explained </w:t>
      </w:r>
      <w:r w:rsidR="008B2F77">
        <w:t>below</w:t>
      </w:r>
      <w:r w:rsidR="004322A0">
        <w:t>.</w:t>
      </w:r>
      <w:r>
        <w:t xml:space="preserve"> </w:t>
      </w:r>
      <w:r w:rsidR="004322A0">
        <w:t>T</w:t>
      </w:r>
      <w:r>
        <w:t xml:space="preserve">o remedy them and return </w:t>
      </w:r>
      <w:r w:rsidR="00B03B6F">
        <w:t xml:space="preserve">the Bill </w:t>
      </w:r>
      <w:r>
        <w:t>to an accep</w:t>
      </w:r>
      <w:r w:rsidR="007E6296">
        <w:t>table</w:t>
      </w:r>
      <w:r w:rsidR="00B03B6F">
        <w:t>, human rights compatible</w:t>
      </w:r>
      <w:r w:rsidR="007E6296">
        <w:t xml:space="preserve"> position </w:t>
      </w:r>
      <w:r w:rsidR="00911137">
        <w:t>it</w:t>
      </w:r>
      <w:r w:rsidR="007E6296">
        <w:t xml:space="preserve"> needs a number of amendments</w:t>
      </w:r>
      <w:r w:rsidR="007D3CB0">
        <w:t>, to put it mildly</w:t>
      </w:r>
      <w:r w:rsidR="007E6296">
        <w:t>.</w:t>
      </w:r>
    </w:p>
    <w:p w14:paraId="70EE290D" w14:textId="0BCF2501" w:rsidR="009A578D" w:rsidRDefault="009A578D" w:rsidP="00390FC3">
      <w:pPr>
        <w:pStyle w:val="BodyText"/>
        <w:numPr>
          <w:ilvl w:val="0"/>
          <w:numId w:val="4"/>
        </w:numPr>
        <w:spacing w:line="360" w:lineRule="auto"/>
      </w:pPr>
      <w:r>
        <w:t xml:space="preserve">What follows in this submission relates </w:t>
      </w:r>
      <w:r w:rsidR="00645B06">
        <w:t xml:space="preserve">originally </w:t>
      </w:r>
      <w:r>
        <w:t xml:space="preserve">to the first version of the EDB, except </w:t>
      </w:r>
      <w:r w:rsidR="00645B06">
        <w:t xml:space="preserve">as </w:t>
      </w:r>
      <w:r>
        <w:t xml:space="preserve">specifically stated. The second version has merely further metastasized, and the arguments for the radical surgery set out </w:t>
      </w:r>
      <w:r w:rsidR="007D3CB0">
        <w:t xml:space="preserve">in the Summary </w:t>
      </w:r>
      <w:r>
        <w:t>at the beginning of this submission</w:t>
      </w:r>
      <w:r w:rsidR="00852C6B">
        <w:t xml:space="preserve"> merely strengthened.</w:t>
      </w:r>
    </w:p>
    <w:p w14:paraId="5FD3F3F1" w14:textId="48F8EE94" w:rsidR="003B331B" w:rsidRDefault="003B331B" w:rsidP="00390FC3">
      <w:pPr>
        <w:pStyle w:val="Heading1"/>
        <w:spacing w:line="360" w:lineRule="auto"/>
      </w:pPr>
      <w:r w:rsidRPr="003B331B">
        <w:t>PART 1—PRELIMINARY</w:t>
      </w:r>
    </w:p>
    <w:p w14:paraId="38E4CBC1" w14:textId="60702E58" w:rsidR="003B331B" w:rsidRPr="003B331B" w:rsidRDefault="00DA0979" w:rsidP="00390FC3">
      <w:pPr>
        <w:pStyle w:val="BodyText"/>
        <w:spacing w:line="360" w:lineRule="auto"/>
      </w:pPr>
      <w:r>
        <w:rPr>
          <w:rFonts w:ascii="Helvetica" w:hAnsi="Helvetica"/>
        </w:rPr>
        <w:t xml:space="preserve">Clause 3   </w:t>
      </w:r>
      <w:r w:rsidR="003B331B" w:rsidRPr="003B331B">
        <w:rPr>
          <w:rFonts w:ascii="Helvetica" w:hAnsi="Helvetica"/>
        </w:rPr>
        <w:t>Objects of this Act</w:t>
      </w:r>
    </w:p>
    <w:p w14:paraId="5A21978C" w14:textId="3C697C43" w:rsidR="007E6296" w:rsidRDefault="007E6296" w:rsidP="00390FC3">
      <w:pPr>
        <w:pStyle w:val="BodyText"/>
        <w:numPr>
          <w:ilvl w:val="0"/>
          <w:numId w:val="4"/>
        </w:numPr>
        <w:spacing w:line="360" w:lineRule="auto"/>
      </w:pPr>
      <w:r>
        <w:lastRenderedPageBreak/>
        <w:t xml:space="preserve">To begin with, the Objects clause, </w:t>
      </w:r>
      <w:r w:rsidR="00D9263A">
        <w:t>cl</w:t>
      </w:r>
      <w:r>
        <w:t xml:space="preserve">.3, should be trimmed to the current </w:t>
      </w:r>
      <w:r w:rsidR="00D9263A">
        <w:t>cl</w:t>
      </w:r>
      <w:r>
        <w:t xml:space="preserve">.3(1)(a) only. EDB 3(1)(b) and 3(2) are redundant, as merely repeating well-known principles of human rights law; the specific reference to religious belief or activity in </w:t>
      </w:r>
      <w:r w:rsidR="00D9263A">
        <w:t>cl</w:t>
      </w:r>
      <w:r>
        <w:t xml:space="preserve">.3(1)(b) does, however, dog-whistle an intention to privilege that right over others, despite the </w:t>
      </w:r>
      <w:r w:rsidR="00B03B6F">
        <w:t>plain</w:t>
      </w:r>
      <w:r>
        <w:t xml:space="preserve"> </w:t>
      </w:r>
      <w:r w:rsidR="00B03B6F">
        <w:t>meaning</w:t>
      </w:r>
      <w:r>
        <w:t>.</w:t>
      </w:r>
      <w:r w:rsidR="00937386">
        <w:t xml:space="preserve"> </w:t>
      </w:r>
      <w:r w:rsidR="00B03B6F">
        <w:t>(</w:t>
      </w:r>
      <w:r w:rsidR="00937386">
        <w:t xml:space="preserve">The “Simplified outline” in </w:t>
      </w:r>
      <w:r w:rsidR="00D9263A">
        <w:t>cl</w:t>
      </w:r>
      <w:r w:rsidR="00937386">
        <w:t>.4 will need to be amended consistently with the other amendments here proposed.</w:t>
      </w:r>
      <w:r w:rsidR="00B03B6F">
        <w:t>)</w:t>
      </w:r>
    </w:p>
    <w:p w14:paraId="696555C2" w14:textId="31C9C2C8" w:rsidR="003B331B" w:rsidRPr="003B331B" w:rsidRDefault="00DA0979" w:rsidP="00390FC3">
      <w:pPr>
        <w:pStyle w:val="BodyText"/>
        <w:spacing w:line="360" w:lineRule="auto"/>
      </w:pPr>
      <w:r>
        <w:rPr>
          <w:rFonts w:ascii="Helvetica" w:hAnsi="Helvetica"/>
        </w:rPr>
        <w:t xml:space="preserve">Clause 5   </w:t>
      </w:r>
      <w:r w:rsidR="003B331B" w:rsidRPr="003B331B">
        <w:rPr>
          <w:rFonts w:ascii="Helvetica" w:hAnsi="Helvetica"/>
        </w:rPr>
        <w:t>Definitions</w:t>
      </w:r>
    </w:p>
    <w:p w14:paraId="4FAA47C8" w14:textId="6F97ED28" w:rsidR="00EA5B28" w:rsidRDefault="00EA5B28" w:rsidP="00390FC3">
      <w:pPr>
        <w:pStyle w:val="BodyText"/>
        <w:numPr>
          <w:ilvl w:val="0"/>
          <w:numId w:val="4"/>
        </w:numPr>
        <w:spacing w:line="360" w:lineRule="auto"/>
      </w:pPr>
      <w:r>
        <w:t xml:space="preserve">Most of the definitions in cl.5 are standard and unremarkable. The definition of </w:t>
      </w:r>
      <w:r w:rsidR="00912D41">
        <w:t>“</w:t>
      </w:r>
      <w:r>
        <w:t>employment,</w:t>
      </w:r>
      <w:r w:rsidR="00912D41">
        <w:t>”</w:t>
      </w:r>
      <w:r>
        <w:t xml:space="preserve"> however, is to be commended for including unpaid work; this is </w:t>
      </w:r>
      <w:r w:rsidR="00912D41">
        <w:t xml:space="preserve">something that </w:t>
      </w:r>
      <w:r w:rsidR="00B03B6F">
        <w:t xml:space="preserve">Liberty Victoria is pleased to see, and it </w:t>
      </w:r>
      <w:r w:rsidR="00912D41">
        <w:t xml:space="preserve">should be extended to the other Commonwealth anti-discrimination </w:t>
      </w:r>
      <w:r w:rsidR="004322A0">
        <w:t>laws</w:t>
      </w:r>
      <w:r w:rsidR="00912D41">
        <w:t>.</w:t>
      </w:r>
    </w:p>
    <w:p w14:paraId="27743474" w14:textId="77777777" w:rsidR="003B331B" w:rsidRDefault="003906BE" w:rsidP="00390FC3">
      <w:pPr>
        <w:pStyle w:val="BodyText"/>
        <w:numPr>
          <w:ilvl w:val="0"/>
          <w:numId w:val="4"/>
        </w:numPr>
        <w:spacing w:line="360" w:lineRule="auto"/>
      </w:pPr>
      <w:r>
        <w:t xml:space="preserve">Several of the definitions in </w:t>
      </w:r>
      <w:r w:rsidR="00D9263A">
        <w:t>cl</w:t>
      </w:r>
      <w:r>
        <w:t>.5 will</w:t>
      </w:r>
      <w:r w:rsidR="00B03B6F">
        <w:t>, however,</w:t>
      </w:r>
      <w:r>
        <w:t xml:space="preserve"> be rendered superfluous</w:t>
      </w:r>
      <w:r w:rsidR="00D52B78">
        <w:t xml:space="preserve">, and hence to be </w:t>
      </w:r>
      <w:r w:rsidR="004322A0">
        <w:t>omitted</w:t>
      </w:r>
      <w:r w:rsidR="00D52B78">
        <w:t>,</w:t>
      </w:r>
      <w:r>
        <w:t xml:space="preserve"> by </w:t>
      </w:r>
      <w:r w:rsidR="008B2F77">
        <w:t>the</w:t>
      </w:r>
      <w:r>
        <w:t xml:space="preserve"> amendments</w:t>
      </w:r>
      <w:r w:rsidR="008B2F77">
        <w:t xml:space="preserve"> here proposed.</w:t>
      </w:r>
      <w:r w:rsidR="00B55750">
        <w:t xml:space="preserve"> </w:t>
      </w:r>
    </w:p>
    <w:p w14:paraId="7B99AA24" w14:textId="300D02AF" w:rsidR="00937386" w:rsidRDefault="00B55750" w:rsidP="00390FC3">
      <w:pPr>
        <w:pStyle w:val="BodyText"/>
        <w:spacing w:line="360" w:lineRule="auto"/>
        <w:ind w:left="720"/>
      </w:pPr>
      <w:r>
        <w:t>One definition, that of “</w:t>
      </w:r>
      <w:r w:rsidRPr="003B331B">
        <w:rPr>
          <w:b/>
          <w:i/>
        </w:rPr>
        <w:t>person</w:t>
      </w:r>
      <w:r>
        <w:t xml:space="preserve">,” is anomalous and requires separate comment. It is fundamental to human rights law that only human beings can have human emotions, feelings, attributes such as sex, race, sexual orientation or, indeed, religious beliefs, not to mention human dignity, and therefore only human beings—“natural persons” in law—can have human rights. The attempt in clause 5 to insist that “person” includes corporations and entities other than natural persons borders on the bizarre. This would enable, and is presumably intended to enable, churches, religious schools, religious charities and the like to claim to be </w:t>
      </w:r>
      <w:r w:rsidR="00140E30">
        <w:t xml:space="preserve">victims of religious belief or activity discrimination. Such a notion is unprecedented, incompatible with all other Australian anti-discrimination laws and inconsistent with Australia’s international human rights treaty obligations. The definition must be omitted, and it must be made clear that only natural persons can suffer discrimination. </w:t>
      </w:r>
    </w:p>
    <w:p w14:paraId="32721723" w14:textId="49C4A6F2" w:rsidR="003B331B" w:rsidRDefault="003B331B" w:rsidP="00645B06">
      <w:pPr>
        <w:pStyle w:val="Heading1"/>
        <w:spacing w:line="360" w:lineRule="auto"/>
        <w:jc w:val="left"/>
      </w:pPr>
      <w:r w:rsidRPr="003B331B">
        <w:lastRenderedPageBreak/>
        <w:t>PART 2—CONCEPT OF DISCRIMINATION ON THE GROUND OF RELIGIOUS BELIEF OR ACTIVITY</w:t>
      </w:r>
    </w:p>
    <w:p w14:paraId="5DEE5A14" w14:textId="1A0B2906" w:rsidR="003B331B" w:rsidRDefault="00DA0979" w:rsidP="00645B06">
      <w:pPr>
        <w:pStyle w:val="Heading3"/>
        <w:spacing w:line="360" w:lineRule="auto"/>
        <w:jc w:val="left"/>
      </w:pPr>
      <w:r>
        <w:t xml:space="preserve">Clause 7   </w:t>
      </w:r>
      <w:r w:rsidR="003B331B" w:rsidRPr="003B331B">
        <w:t xml:space="preserve">Discrimination on the ground </w:t>
      </w:r>
      <w:r w:rsidR="003B331B">
        <w:t>of religious belief or activity</w:t>
      </w:r>
      <w:r w:rsidR="003B331B" w:rsidRPr="003B331B">
        <w:t>—direct discrimination</w:t>
      </w:r>
    </w:p>
    <w:p w14:paraId="45F2CA70" w14:textId="40AF1C43" w:rsidR="003906BE" w:rsidRDefault="00D9263A" w:rsidP="00390FC3">
      <w:pPr>
        <w:pStyle w:val="BodyText"/>
        <w:numPr>
          <w:ilvl w:val="0"/>
          <w:numId w:val="4"/>
        </w:numPr>
        <w:spacing w:line="360" w:lineRule="auto"/>
      </w:pPr>
      <w:r>
        <w:t>Part 2 begins with a stock standard cl.7 definition of direct discrimination</w:t>
      </w:r>
      <w:r w:rsidR="002B04CE">
        <w:t xml:space="preserve"> and is unobjectionable</w:t>
      </w:r>
      <w:r>
        <w:t xml:space="preserve">. </w:t>
      </w:r>
      <w:r w:rsidR="002B04CE">
        <w:t>(</w:t>
      </w:r>
      <w:r>
        <w:t xml:space="preserve">It is old-fashioned drafting, </w:t>
      </w:r>
      <w:r w:rsidR="00D52B78">
        <w:t>though</w:t>
      </w:r>
      <w:r w:rsidR="002B04CE">
        <w:t xml:space="preserve">, </w:t>
      </w:r>
      <w:r>
        <w:t xml:space="preserve">involving the use of </w:t>
      </w:r>
      <w:r w:rsidR="00D52B78">
        <w:t xml:space="preserve"> a </w:t>
      </w:r>
      <w:r>
        <w:t>“less favo</w:t>
      </w:r>
      <w:r w:rsidR="002B04CE">
        <w:t xml:space="preserve">urably” comparison; a better model would be s.8 of the </w:t>
      </w:r>
      <w:r w:rsidR="002B04CE" w:rsidRPr="002B04CE">
        <w:rPr>
          <w:i/>
        </w:rPr>
        <w:t>Equal Opportunity Act</w:t>
      </w:r>
      <w:r w:rsidR="002B04CE">
        <w:t xml:space="preserve"> 2010 (Vic).)</w:t>
      </w:r>
    </w:p>
    <w:p w14:paraId="3CF587BD" w14:textId="3DDCE1C9" w:rsidR="00BD0826" w:rsidRDefault="00DA0979" w:rsidP="00645B06">
      <w:pPr>
        <w:pStyle w:val="Heading3"/>
        <w:spacing w:line="360" w:lineRule="auto"/>
        <w:jc w:val="left"/>
      </w:pPr>
      <w:r>
        <w:t xml:space="preserve">Clause 8   </w:t>
      </w:r>
      <w:r w:rsidR="00BD0826" w:rsidRPr="00BD0826">
        <w:t xml:space="preserve">Discrimination on the ground </w:t>
      </w:r>
      <w:r w:rsidR="00BD0826">
        <w:t>of religious belief or activity</w:t>
      </w:r>
      <w:r w:rsidR="00BD0826" w:rsidRPr="00BD0826">
        <w:t>—indirect discrimination</w:t>
      </w:r>
    </w:p>
    <w:p w14:paraId="7BE3617F" w14:textId="2B6DECCF" w:rsidR="002B04CE" w:rsidRDefault="002B04CE" w:rsidP="00390FC3">
      <w:pPr>
        <w:pStyle w:val="BodyText"/>
        <w:numPr>
          <w:ilvl w:val="0"/>
          <w:numId w:val="4"/>
        </w:numPr>
        <w:spacing w:line="360" w:lineRule="auto"/>
      </w:pPr>
      <w:r>
        <w:t>The expanded definition of indirect discrimination in cl.8 is, however, seriously inappropriate, apart from sub-claus</w:t>
      </w:r>
      <w:r w:rsidR="002275B7">
        <w:t>es</w:t>
      </w:r>
      <w:r>
        <w:t xml:space="preserve"> (1), </w:t>
      </w:r>
      <w:r w:rsidR="002275B7">
        <w:t xml:space="preserve">(7) and (8), and sub-clause (2) amended by omitting </w:t>
      </w:r>
      <w:r w:rsidR="002F0F93">
        <w:t xml:space="preserve">both </w:t>
      </w:r>
      <w:r w:rsidR="002275B7">
        <w:t>the reference to “subsections (3), (5) and (6)” and paragraph (d)</w:t>
      </w:r>
      <w:r>
        <w:t>.</w:t>
      </w:r>
    </w:p>
    <w:p w14:paraId="1D18B123" w14:textId="346102FC" w:rsidR="002275B7" w:rsidRDefault="002275B7" w:rsidP="00390FC3">
      <w:pPr>
        <w:pStyle w:val="BodyText"/>
        <w:numPr>
          <w:ilvl w:val="0"/>
          <w:numId w:val="4"/>
        </w:numPr>
        <w:spacing w:line="360" w:lineRule="auto"/>
      </w:pPr>
      <w:r>
        <w:t>The other parts of this clause amount to a considerable overreach whose effect is the entrenching, or even expanding, of unjustifiable religious privilege as embodied in the concepts of “employer</w:t>
      </w:r>
      <w:r w:rsidR="00A62224">
        <w:t>—or health practitioner—</w:t>
      </w:r>
      <w:r>
        <w:t>conduct rule”, “relevant employer” and “statement of belief”.</w:t>
      </w:r>
    </w:p>
    <w:p w14:paraId="67E3AC75" w14:textId="62D9EAB0" w:rsidR="002275B7" w:rsidRDefault="002275B7" w:rsidP="00390FC3">
      <w:pPr>
        <w:pStyle w:val="BodyText"/>
        <w:numPr>
          <w:ilvl w:val="0"/>
          <w:numId w:val="4"/>
        </w:numPr>
        <w:spacing w:line="360" w:lineRule="auto"/>
      </w:pPr>
      <w:r>
        <w:t>Sub-clause (4) is an attempt to ameliorate the overreach of the preceding sub-clause (3)</w:t>
      </w:r>
      <w:r w:rsidR="00D45B4F">
        <w:t xml:space="preserve">; it is worthy, in trying to make it clear that some “statements of “belief” are too odious to be tolerated, but in practice this would be almost certainly unworkable without endless uncertainty and litigation. </w:t>
      </w:r>
      <w:r w:rsidR="00A91BFA">
        <w:t xml:space="preserve">The attempt to construct realistic examples of what would or would not be encouraged or forbidden by these provisions is almost as pointless as an infinite regression. </w:t>
      </w:r>
      <w:r w:rsidR="00D45B4F">
        <w:t xml:space="preserve">It anyway becomes redundant when </w:t>
      </w:r>
      <w:r w:rsidR="00A91BFA">
        <w:t>s</w:t>
      </w:r>
      <w:r w:rsidR="00D45B4F">
        <w:t>ub-cl.(3) is omitted.</w:t>
      </w:r>
    </w:p>
    <w:p w14:paraId="30A97848" w14:textId="6C58F2F7" w:rsidR="00D45B4F" w:rsidRDefault="00A91BFA" w:rsidP="00390FC3">
      <w:pPr>
        <w:pStyle w:val="BodyText"/>
        <w:numPr>
          <w:ilvl w:val="0"/>
          <w:numId w:val="4"/>
        </w:numPr>
        <w:spacing w:line="360" w:lineRule="auto"/>
      </w:pPr>
      <w:r>
        <w:t xml:space="preserve">Sub-cl.(3) is a novelty, unprecedented in any State or Territory anti-discrimination law applying to discrimination on the basis of religious belief or </w:t>
      </w:r>
      <w:r>
        <w:lastRenderedPageBreak/>
        <w:t>activity</w:t>
      </w:r>
      <w:r w:rsidR="002F0F93">
        <w:t xml:space="preserve"> (or any other attribute, for that matter)</w:t>
      </w:r>
      <w:r>
        <w:t xml:space="preserve">, and </w:t>
      </w:r>
      <w:r w:rsidR="003C79D9">
        <w:t>makes a mockery of the concept of equality.</w:t>
      </w:r>
    </w:p>
    <w:p w14:paraId="23AC17F0" w14:textId="53974558" w:rsidR="002B04CE" w:rsidRDefault="00B909C2" w:rsidP="00390FC3">
      <w:pPr>
        <w:pStyle w:val="BodyText"/>
        <w:numPr>
          <w:ilvl w:val="0"/>
          <w:numId w:val="4"/>
        </w:numPr>
        <w:spacing w:line="360" w:lineRule="auto"/>
      </w:pPr>
      <w:r>
        <w:t xml:space="preserve">Equally unprecedented, and a grave overreach, are sub-clauses (5) and (6) concerning health practitioners. </w:t>
      </w:r>
      <w:r w:rsidR="00CE050A">
        <w:t xml:space="preserve">As with sub-cl.(3) it is difficult to navigate through the cascade of multiple negatives to </w:t>
      </w:r>
      <w:r w:rsidR="003F29B2">
        <w:t>determine</w:t>
      </w:r>
      <w:r w:rsidR="00CE050A">
        <w:t xml:space="preserve"> what they actually mean in any given context. This difficulty is exacerbated by the near impossibility of knowing what every on</w:t>
      </w:r>
      <w:r w:rsidR="003F29B2">
        <w:t>e of the numerous religions rec</w:t>
      </w:r>
      <w:r w:rsidR="00CE050A">
        <w:t>orded by the ABS</w:t>
      </w:r>
      <w:r w:rsidR="004322A0" w:rsidRPr="00FD5295">
        <w:rPr>
          <w:rStyle w:val="FootnoteReference"/>
          <w:rFonts w:ascii="Helvetica" w:hAnsi="Helvetica"/>
        </w:rPr>
        <w:footnoteReference w:id="1"/>
      </w:r>
      <w:r w:rsidR="003F29B2">
        <w:t xml:space="preserve"> might encourage </w:t>
      </w:r>
      <w:r w:rsidR="00D52B78">
        <w:t xml:space="preserve">or lead </w:t>
      </w:r>
      <w:r w:rsidR="003F29B2">
        <w:t>their membership to believe</w:t>
      </w:r>
      <w:r w:rsidR="00CE050A">
        <w:t>, let alone their multitudinous different and often ill-defined beliefs</w:t>
      </w:r>
      <w:r w:rsidR="003F29B2">
        <w:t xml:space="preserve"> and varied activities</w:t>
      </w:r>
      <w:r w:rsidR="00CB5540">
        <w:t xml:space="preserve">, not to mention the vagaries of </w:t>
      </w:r>
      <w:r w:rsidR="00A62224">
        <w:t>such believers’ individual consciences</w:t>
      </w:r>
      <w:r w:rsidR="003F29B2">
        <w:t>.</w:t>
      </w:r>
      <w:r w:rsidR="00CB5540">
        <w:t xml:space="preserve"> While some suggest this provision is intended</w:t>
      </w:r>
      <w:r w:rsidR="00C91624">
        <w:t xml:space="preserve"> merely</w:t>
      </w:r>
      <w:r w:rsidR="00CB5540">
        <w:t xml:space="preserve"> to make health services unable to effectively provide certain services, such as abortion, it seems equally likely to enable any of the vast range of health practitioners to refuse to treat, or to treat </w:t>
      </w:r>
      <w:r w:rsidR="008E132A">
        <w:t>unfavourably</w:t>
      </w:r>
      <w:r w:rsidR="00CB5540">
        <w:t>, any person whose existence in some way offends the practitioner’s religious beliefs, such as, for example, the Roman Catholic belief that people who divorce or remarry, or who have sex outside Catholic marriage, are sinful and hell bound.</w:t>
      </w:r>
      <w:r w:rsidR="00C91624">
        <w:t xml:space="preserve"> </w:t>
      </w:r>
      <w:r w:rsidR="00D52B78">
        <w:t xml:space="preserve">There are without doubt many even more outrageous beliefs to be found among the 130 or so religious groupings the ABS identifies in Australia. </w:t>
      </w:r>
      <w:r w:rsidR="00510BA1">
        <w:t>S</w:t>
      </w:r>
      <w:r w:rsidR="00C91624">
        <w:t xml:space="preserve">ub-clauses </w:t>
      </w:r>
      <w:r w:rsidR="00510BA1">
        <w:t xml:space="preserve">(5) and (6) </w:t>
      </w:r>
      <w:r w:rsidR="00C91624">
        <w:t>must be omitted.</w:t>
      </w:r>
    </w:p>
    <w:p w14:paraId="753BF320" w14:textId="0027D242" w:rsidR="00510BA1" w:rsidRDefault="00510BA1" w:rsidP="00390FC3">
      <w:pPr>
        <w:pStyle w:val="BodyText"/>
        <w:numPr>
          <w:ilvl w:val="0"/>
          <w:numId w:val="4"/>
        </w:numPr>
        <w:spacing w:line="360" w:lineRule="auto"/>
      </w:pPr>
      <w:r>
        <w:t>The remaining provisions of clause 8, namely sub-clauses (7) and (8)</w:t>
      </w:r>
      <w:r w:rsidR="00852C6B">
        <w:t xml:space="preserve"> (renumbered 8 and 9 in the </w:t>
      </w:r>
      <w:r w:rsidR="00852C6B" w:rsidRPr="00FD5295">
        <w:rPr>
          <w:rFonts w:ascii="Helvetica" w:hAnsi="Helvetica"/>
        </w:rPr>
        <w:t>2</w:t>
      </w:r>
      <w:r w:rsidR="00852C6B" w:rsidRPr="00FD5295">
        <w:rPr>
          <w:rFonts w:ascii="Helvetica" w:hAnsi="Helvetica"/>
          <w:vertAlign w:val="superscript"/>
        </w:rPr>
        <w:t>nd</w:t>
      </w:r>
      <w:r w:rsidR="00852C6B">
        <w:t xml:space="preserve">  EDB)</w:t>
      </w:r>
      <w:r>
        <w:t>, are routine and should remain.</w:t>
      </w:r>
      <w:r w:rsidR="00CC20EA">
        <w:t xml:space="preserve"> The same applies to clause 9.</w:t>
      </w:r>
    </w:p>
    <w:p w14:paraId="2EB84DF0" w14:textId="14DC9049" w:rsidR="00BD0826" w:rsidRDefault="00DA0979" w:rsidP="00645B06">
      <w:pPr>
        <w:pStyle w:val="Heading3"/>
        <w:spacing w:line="360" w:lineRule="auto"/>
        <w:jc w:val="left"/>
      </w:pPr>
      <w:r>
        <w:t xml:space="preserve">Clause 10   </w:t>
      </w:r>
      <w:r w:rsidR="00BD0826" w:rsidRPr="00BD0826">
        <w:t>Religious bodies may act in accordance with their faith</w:t>
      </w:r>
      <w:r w:rsidR="00852C6B">
        <w:t xml:space="preserve"> (renumbered 11 in the 2</w:t>
      </w:r>
      <w:r w:rsidR="00852C6B" w:rsidRPr="00FD5295">
        <w:rPr>
          <w:vertAlign w:val="superscript"/>
        </w:rPr>
        <w:t>nd</w:t>
      </w:r>
      <w:r w:rsidR="00852C6B">
        <w:t xml:space="preserve"> EDB)</w:t>
      </w:r>
    </w:p>
    <w:p w14:paraId="75B6FD5C" w14:textId="5AF21C85" w:rsidR="00C91624" w:rsidRDefault="00073AF8" w:rsidP="00390FC3">
      <w:pPr>
        <w:pStyle w:val="BodyText"/>
        <w:numPr>
          <w:ilvl w:val="0"/>
          <w:numId w:val="4"/>
        </w:numPr>
        <w:spacing w:line="360" w:lineRule="auto"/>
      </w:pPr>
      <w:r>
        <w:t>Clause 10, on the other hand, must be omitted entirely. It is a claim of religious privilege to the extent of supremacy, a grandiose global “religious exemption” at odds with the Attorney-General’s assertion at the aforementioned consultation that religious exemptions were</w:t>
      </w:r>
      <w:r w:rsidR="00F46ED4">
        <w:t xml:space="preserve"> to be</w:t>
      </w:r>
      <w:r>
        <w:t xml:space="preserve"> the subject of the ALRC inquiry and </w:t>
      </w:r>
      <w:r w:rsidR="00EA29B0">
        <w:t>not part of this EDB</w:t>
      </w:r>
      <w:r w:rsidR="00F46ED4">
        <w:t>.</w:t>
      </w:r>
      <w:r w:rsidR="00EA29B0">
        <w:t xml:space="preserve"> </w:t>
      </w:r>
      <w:r w:rsidR="00F46ED4">
        <w:t>Clause 10</w:t>
      </w:r>
      <w:r w:rsidR="00EA29B0">
        <w:t xml:space="preserve"> indeed utterly pre-</w:t>
      </w:r>
      <w:r w:rsidR="00F46ED4">
        <w:t>empts</w:t>
      </w:r>
      <w:r w:rsidR="00EA29B0">
        <w:t xml:space="preserve"> that inquiry. </w:t>
      </w:r>
    </w:p>
    <w:p w14:paraId="4FEB3A50" w14:textId="77777777" w:rsidR="003E2DAB" w:rsidRDefault="00361D9E" w:rsidP="00390FC3">
      <w:pPr>
        <w:pStyle w:val="BodyText"/>
        <w:numPr>
          <w:ilvl w:val="0"/>
          <w:numId w:val="4"/>
        </w:numPr>
        <w:spacing w:line="360" w:lineRule="auto"/>
      </w:pPr>
      <w:r>
        <w:t>It seems hardly necessary to elaborate on this conclusion. Since it has reached the status of inclusion in the EDB, however, some further detail is apparentl</w:t>
      </w:r>
      <w:r w:rsidR="00D52AC6">
        <w:t xml:space="preserve">y required. </w:t>
      </w:r>
    </w:p>
    <w:p w14:paraId="0A49439F" w14:textId="153CEF5D" w:rsidR="00EA29B0" w:rsidRDefault="00D52AC6" w:rsidP="00390FC3">
      <w:pPr>
        <w:pStyle w:val="BodyText"/>
        <w:numPr>
          <w:ilvl w:val="0"/>
          <w:numId w:val="4"/>
        </w:numPr>
        <w:spacing w:line="360" w:lineRule="auto"/>
      </w:pPr>
      <w:r>
        <w:t xml:space="preserve">To begin at the end, sub-clause </w:t>
      </w:r>
      <w:r w:rsidR="00F46ED4">
        <w:t>10</w:t>
      </w:r>
      <w:r>
        <w:t xml:space="preserve">(3) states that cl.10 “applies despite anything else in this Act”. This means that clauses such as clause 60 (which enables State and Territory laws to operate concurrently) do not apply, and thus clause 10 amounts to a claim to override any inconsistent State or Territory law. It also </w:t>
      </w:r>
      <w:r w:rsidR="003E2DAB">
        <w:t>vitiates</w:t>
      </w:r>
      <w:r>
        <w:t xml:space="preserve"> other provisions limiting the ambit of religious belief or activity by excluding conduct that “is malicious… or would, or [be] likely to, harass, vilify or incite hatred or violence against” others, </w:t>
      </w:r>
      <w:r w:rsidR="003E2DAB">
        <w:t>or could “counsel, promote, encourage or urge conduct that would constitute a serious offence”: sub-clause 8(3),</w:t>
      </w:r>
      <w:r w:rsidR="001D716E">
        <w:t xml:space="preserve"> and</w:t>
      </w:r>
      <w:r w:rsidR="003E2DAB">
        <w:t xml:space="preserve"> </w:t>
      </w:r>
      <w:r w:rsidR="001D716E">
        <w:t>cl.</w:t>
      </w:r>
      <w:r w:rsidR="003E2DAB">
        <w:t>27(1)(b).</w:t>
      </w:r>
    </w:p>
    <w:p w14:paraId="0AB43262" w14:textId="2E1DE3BD" w:rsidR="003E2DAB" w:rsidRDefault="003E2DAB" w:rsidP="00390FC3">
      <w:pPr>
        <w:pStyle w:val="BodyText"/>
        <w:numPr>
          <w:ilvl w:val="0"/>
          <w:numId w:val="4"/>
        </w:numPr>
        <w:spacing w:line="360" w:lineRule="auto"/>
      </w:pPr>
      <w:r>
        <w:t>Clause 10 operates at the definitional stage: it says that what religious bodies (very broadly defined) do is just not discrimination</w:t>
      </w:r>
      <w:r w:rsidR="00B6632E">
        <w:t xml:space="preserve"> at all</w:t>
      </w:r>
      <w:r>
        <w:t xml:space="preserve">. It applies a very weak test to this broad permission to discriminate (in </w:t>
      </w:r>
      <w:r w:rsidR="007A72AA">
        <w:t xml:space="preserve">the meaning of the word in all </w:t>
      </w:r>
      <w:r w:rsidR="001D716E">
        <w:t>other anti-discrimination laws):</w:t>
      </w:r>
      <w:r>
        <w:t xml:space="preserve"> </w:t>
      </w:r>
      <w:r w:rsidR="001D716E">
        <w:t xml:space="preserve">it does </w:t>
      </w:r>
      <w:r>
        <w:t xml:space="preserve">not even </w:t>
      </w:r>
      <w:r w:rsidR="001D716E">
        <w:t xml:space="preserve">need </w:t>
      </w:r>
      <w:r>
        <w:t xml:space="preserve">to be “in accordance with” </w:t>
      </w:r>
      <w:r w:rsidR="007A72AA">
        <w:t xml:space="preserve">the “doctrines, tenets, beliefs or teachings” of the religion concerned, but merely </w:t>
      </w:r>
      <w:r w:rsidR="001D716E">
        <w:t>action that</w:t>
      </w:r>
      <w:r w:rsidR="007A72AA">
        <w:t xml:space="preserve"> “may reasonably </w:t>
      </w:r>
      <w:r w:rsidR="005F79CC">
        <w:t xml:space="preserve">be </w:t>
      </w:r>
      <w:r w:rsidR="007A72AA">
        <w:t xml:space="preserve">regarded” as such. Given the great numbers of religions listed by the ABS, and the huge variety of their teachings etc (amplified by the vagueness of “reasonably regarded”) it must be impossible to know in advance what is licensed by this provision. In seeking to understand this provision it is essential to recall that, though clearly inspired by </w:t>
      </w:r>
      <w:r w:rsidR="003F2DDC">
        <w:t xml:space="preserve">a desire to pander to </w:t>
      </w:r>
      <w:r w:rsidR="007A72AA">
        <w:t xml:space="preserve">a </w:t>
      </w:r>
      <w:r w:rsidR="003F2DDC">
        <w:t>small collection of shock jocks</w:t>
      </w:r>
      <w:r w:rsidR="00B6632E">
        <w:t>, MPs</w:t>
      </w:r>
      <w:r w:rsidR="003F2DDC">
        <w:t xml:space="preserve"> and lobbyists and their </w:t>
      </w:r>
      <w:r w:rsidR="007A72AA">
        <w:t xml:space="preserve">narrow interpretation of one </w:t>
      </w:r>
      <w:r w:rsidR="003F2DDC">
        <w:t xml:space="preserve">favoured </w:t>
      </w:r>
      <w:r w:rsidR="007A72AA">
        <w:t xml:space="preserve">religion, it is applicable to all religions, including those whose teachings etc are </w:t>
      </w:r>
      <w:r w:rsidR="00082424">
        <w:t xml:space="preserve">especially </w:t>
      </w:r>
      <w:r w:rsidR="00D839E5">
        <w:t xml:space="preserve">intolerant, misogynist, homophobic, </w:t>
      </w:r>
      <w:r w:rsidR="007A72AA">
        <w:t xml:space="preserve">abusive </w:t>
      </w:r>
      <w:r w:rsidR="00D839E5">
        <w:t>or</w:t>
      </w:r>
      <w:r w:rsidR="007A72AA">
        <w:t xml:space="preserve"> murderous.</w:t>
      </w:r>
    </w:p>
    <w:p w14:paraId="4F24A3F7" w14:textId="51BD78F9" w:rsidR="00BD0826" w:rsidRDefault="00DA0979" w:rsidP="00390FC3">
      <w:pPr>
        <w:pStyle w:val="Heading3"/>
        <w:spacing w:line="360" w:lineRule="auto"/>
      </w:pPr>
      <w:r>
        <w:t xml:space="preserve">Clause 11   </w:t>
      </w:r>
      <w:r w:rsidR="00BD0826">
        <w:t>“Special measures” (</w:t>
      </w:r>
      <w:r w:rsidR="00BD0826" w:rsidRPr="00BD0826">
        <w:t xml:space="preserve">Conduct that is not </w:t>
      </w:r>
      <w:r w:rsidR="00BD0826" w:rsidRPr="00BD0826">
        <w:rPr>
          <w:i/>
        </w:rPr>
        <w:t>discrimination</w:t>
      </w:r>
      <w:r w:rsidR="00BD0826" w:rsidRPr="00BD0826">
        <w:t>—reasonable conduct intended to meet a need or reduce a disadvantag</w:t>
      </w:r>
      <w:r w:rsidR="00BD0826">
        <w:t>e)</w:t>
      </w:r>
    </w:p>
    <w:p w14:paraId="25405945" w14:textId="1F5D519C" w:rsidR="00D839E5" w:rsidRDefault="00FB6F5D" w:rsidP="00390FC3">
      <w:pPr>
        <w:pStyle w:val="BodyText"/>
        <w:numPr>
          <w:ilvl w:val="0"/>
          <w:numId w:val="4"/>
        </w:numPr>
        <w:spacing w:line="360" w:lineRule="auto"/>
      </w:pPr>
      <w:r>
        <w:t xml:space="preserve">Part 2 of the EDB concludes with </w:t>
      </w:r>
      <w:r w:rsidR="00B6632E">
        <w:t xml:space="preserve">what appears to be </w:t>
      </w:r>
      <w:r>
        <w:t>a</w:t>
      </w:r>
      <w:r w:rsidR="008D2348">
        <w:t xml:space="preserve"> routine</w:t>
      </w:r>
      <w:r>
        <w:t xml:space="preserve"> “special measures” provision</w:t>
      </w:r>
      <w:r w:rsidR="00B6632E">
        <w:t xml:space="preserve"> in</w:t>
      </w:r>
      <w:r w:rsidR="008D2348">
        <w:t xml:space="preserve"> clause 11.</w:t>
      </w:r>
      <w:r>
        <w:t xml:space="preserve"> </w:t>
      </w:r>
      <w:r w:rsidR="008D2348">
        <w:t>It</w:t>
      </w:r>
      <w:r>
        <w:t xml:space="preserve"> raises no issues requiring comment at this point.</w:t>
      </w:r>
    </w:p>
    <w:p w14:paraId="4BB3243B" w14:textId="4E39B09D" w:rsidR="00BD0826" w:rsidRDefault="00BD0826" w:rsidP="00390FC3">
      <w:pPr>
        <w:pStyle w:val="Heading1"/>
        <w:spacing w:line="360" w:lineRule="auto"/>
        <w:jc w:val="left"/>
      </w:pPr>
      <w:r w:rsidRPr="00BD0826">
        <w:t>PART 3—UNLAWFUL DISCRIMINATION</w:t>
      </w:r>
    </w:p>
    <w:p w14:paraId="1B14BB38" w14:textId="199487CB" w:rsidR="008D2348" w:rsidRDefault="008D2348" w:rsidP="00390FC3">
      <w:pPr>
        <w:pStyle w:val="BodyText"/>
        <w:numPr>
          <w:ilvl w:val="0"/>
          <w:numId w:val="4"/>
        </w:numPr>
        <w:spacing w:line="360" w:lineRule="auto"/>
      </w:pPr>
      <w:r>
        <w:t xml:space="preserve">Part 3 establishes what is to be unlawful in Divisions 2 </w:t>
      </w:r>
      <w:r w:rsidR="00D1733B">
        <w:t xml:space="preserve">(work) </w:t>
      </w:r>
      <w:r>
        <w:t>and 3</w:t>
      </w:r>
      <w:r w:rsidR="00D1733B">
        <w:t xml:space="preserve"> (other areas)</w:t>
      </w:r>
      <w:r>
        <w:t>.</w:t>
      </w:r>
      <w:r w:rsidR="00BD0826">
        <w:t xml:space="preserve"> It is just a “stock</w:t>
      </w:r>
      <w:r>
        <w:t xml:space="preserve"> standard” anti-discrimination law; or rather, would be if (and only if) the </w:t>
      </w:r>
      <w:r w:rsidR="00CC41BA">
        <w:t>earlier provisions</w:t>
      </w:r>
      <w:r>
        <w:t xml:space="preserve"> were amended as described above.</w:t>
      </w:r>
      <w:r w:rsidR="00D1733B">
        <w:t xml:space="preserve"> Division 4 sets out “Exceptions and exemptions”. Most are stock standard, though some may need further scrutiny.</w:t>
      </w:r>
      <w:r w:rsidR="00B9016C">
        <w:t xml:space="preserve"> In particular, the blanket </w:t>
      </w:r>
      <w:r w:rsidR="00E90200">
        <w:t>privilege, nay supremacy, accorded to “charitable” benefits involving “religious belief or activity” by Second EDB clause 29 is unsupportable, and that clause must fall to the surgeon’s scalpel too.</w:t>
      </w:r>
    </w:p>
    <w:p w14:paraId="1F773D4D" w14:textId="7F2B360E" w:rsidR="002809E3" w:rsidRDefault="002809E3" w:rsidP="002809E3">
      <w:pPr>
        <w:pStyle w:val="BodyText"/>
        <w:numPr>
          <w:ilvl w:val="0"/>
          <w:numId w:val="4"/>
        </w:numPr>
        <w:spacing w:line="360" w:lineRule="auto"/>
      </w:pPr>
      <w:r>
        <w:t>Division 4 of Part 3 sets out exceptions to the unlawfulness provisions, most of which are “stock, standard” in anti-discrimination laws. Consistent with earlier remarks, however, sub-sections of clause 32 (2</w:t>
      </w:r>
      <w:r w:rsidRPr="00A73D32">
        <w:rPr>
          <w:rFonts w:ascii="Helvetica" w:hAnsi="Helvetica"/>
          <w:vertAlign w:val="superscript"/>
        </w:rPr>
        <w:t>nd</w:t>
      </w:r>
      <w:r>
        <w:t xml:space="preserve"> EDB) concerning employer and health “conduct rules” and other religious preferences must be omitted.</w:t>
      </w:r>
    </w:p>
    <w:p w14:paraId="04100364" w14:textId="4370D1EF" w:rsidR="00E90200" w:rsidRDefault="00E90200" w:rsidP="00390FC3">
      <w:pPr>
        <w:pStyle w:val="BodyText"/>
        <w:numPr>
          <w:ilvl w:val="0"/>
          <w:numId w:val="4"/>
        </w:numPr>
        <w:spacing w:line="360" w:lineRule="auto"/>
      </w:pPr>
      <w:r>
        <w:t xml:space="preserve">Similarly the equally unjustifiable privileges accorded “religious camps and conference sites” in </w:t>
      </w:r>
      <w:r w:rsidR="002809E3">
        <w:t xml:space="preserve">second EDB </w:t>
      </w:r>
      <w:r>
        <w:t>Clause 33 must be excised.</w:t>
      </w:r>
    </w:p>
    <w:p w14:paraId="18D74BA7" w14:textId="292E6D47" w:rsidR="00CC6088" w:rsidRPr="00CC6088" w:rsidRDefault="00CC6088" w:rsidP="00390FC3">
      <w:pPr>
        <w:pStyle w:val="Heading1"/>
        <w:spacing w:line="360" w:lineRule="auto"/>
        <w:jc w:val="left"/>
      </w:pPr>
      <w:r w:rsidRPr="00CC6088">
        <w:t>PART 4—STATEMENTS OF BELIEF DO NOT CONSTITUTE DISCRIMINATION ETC.</w:t>
      </w:r>
    </w:p>
    <w:p w14:paraId="5362A6B5" w14:textId="01379BD3" w:rsidR="00E072B0" w:rsidRPr="004C5FF0" w:rsidRDefault="00E072B0" w:rsidP="00390FC3">
      <w:pPr>
        <w:pStyle w:val="Heading3"/>
        <w:spacing w:line="360" w:lineRule="auto"/>
      </w:pPr>
      <w:r w:rsidRPr="00713167">
        <w:t xml:space="preserve">Clause </w:t>
      </w:r>
      <w:r w:rsidR="00DA0979">
        <w:t>4</w:t>
      </w:r>
      <w:r w:rsidR="002809E3">
        <w:t>2</w:t>
      </w:r>
      <w:r w:rsidR="00DA0979">
        <w:t xml:space="preserve">   </w:t>
      </w:r>
      <w:r>
        <w:t>Statements of belief do not constitute discrimination etc.</w:t>
      </w:r>
      <w:r w:rsidRPr="00CC6088">
        <w:t xml:space="preserve"> </w:t>
      </w:r>
    </w:p>
    <w:p w14:paraId="30413788" w14:textId="337DF709" w:rsidR="00985AB5" w:rsidRDefault="00985AB5" w:rsidP="00390FC3">
      <w:pPr>
        <w:pStyle w:val="BodyText"/>
        <w:numPr>
          <w:ilvl w:val="0"/>
          <w:numId w:val="4"/>
        </w:numPr>
        <w:spacing w:line="360" w:lineRule="auto"/>
      </w:pPr>
      <w:r>
        <w:t xml:space="preserve">Part 4 of the EDB concerning “statements of belief” is another overreach and claim of religious privilege that </w:t>
      </w:r>
      <w:r w:rsidR="009B5690">
        <w:t>should</w:t>
      </w:r>
      <w:r>
        <w:t xml:space="preserve"> be omitted from the </w:t>
      </w:r>
      <w:r w:rsidR="009B5690">
        <w:t>bill.</w:t>
      </w:r>
      <w:r w:rsidR="009139CD">
        <w:t xml:space="preserve"> </w:t>
      </w:r>
      <w:r w:rsidR="00E26E25">
        <w:t xml:space="preserve">The discussion in the </w:t>
      </w:r>
      <w:r w:rsidR="002809E3">
        <w:t xml:space="preserve">(first) </w:t>
      </w:r>
      <w:r w:rsidR="00E26E25">
        <w:t>Explanatory Notes of the effect of clause 41</w:t>
      </w:r>
      <w:r w:rsidR="002809E3">
        <w:t xml:space="preserve"> (first EDB)</w:t>
      </w:r>
      <w:r w:rsidR="00E26E25">
        <w:t xml:space="preserve"> reveals a complete lack of interest in, or perhaps awareness of, the harm caused to vulnerable people by the words of these never-to-be-discrimination “statements of belief,”</w:t>
      </w:r>
      <w:r w:rsidR="00E26E25" w:rsidRPr="00E26E25">
        <w:t xml:space="preserve"> </w:t>
      </w:r>
      <w:r w:rsidR="00E26E25">
        <w:t>or their manner of delivery.</w:t>
      </w:r>
    </w:p>
    <w:p w14:paraId="0D990C04" w14:textId="027AE92B" w:rsidR="002B24C2" w:rsidRDefault="00E15309" w:rsidP="00390FC3">
      <w:pPr>
        <w:pStyle w:val="BodyText"/>
        <w:numPr>
          <w:ilvl w:val="0"/>
          <w:numId w:val="4"/>
        </w:numPr>
        <w:spacing w:line="360" w:lineRule="auto"/>
      </w:pPr>
      <w:r>
        <w:t xml:space="preserve">Paragraph 407 of the </w:t>
      </w:r>
      <w:r w:rsidR="002809E3">
        <w:t xml:space="preserve">(first) </w:t>
      </w:r>
      <w:r>
        <w:t>Explanatory Notes illustrates their insouciant naïveté.</w:t>
      </w:r>
      <w:r w:rsidR="002B24C2">
        <w:t xml:space="preserve"> Before considering the harms that “statements of belief” will cause, consider what such statements may say.</w:t>
      </w:r>
      <w:r>
        <w:t xml:space="preserve"> </w:t>
      </w:r>
    </w:p>
    <w:p w14:paraId="6A866859" w14:textId="436EB225" w:rsidR="00586C7B" w:rsidRDefault="002B24C2" w:rsidP="00390FC3">
      <w:pPr>
        <w:pStyle w:val="BodyText"/>
        <w:spacing w:line="360" w:lineRule="auto"/>
        <w:ind w:left="720"/>
      </w:pPr>
      <w:r>
        <w:t>The Note</w:t>
      </w:r>
      <w:r w:rsidR="000A24DB">
        <w:t xml:space="preserve"> states: “</w:t>
      </w:r>
      <w:r w:rsidR="000A24DB" w:rsidRPr="000A24DB">
        <w:t>For example, a statement made in good faith by a Christian of their religious belief that unrepentant sinners will go to hell may constitute a statement of belief. However, a statement made in good faith by that same person that all people of a particular race will go to hell may not constitute a statement of belief as it may not reasonably be regarded as being in accordance with the doctrines, tenets, beliefs or teachings of Christianity</w:t>
      </w:r>
      <w:r w:rsidR="000A24DB">
        <w:t>.”</w:t>
      </w:r>
    </w:p>
    <w:p w14:paraId="2BED6250" w14:textId="0E2D6DE3" w:rsidR="000A24DB" w:rsidRDefault="000A24DB" w:rsidP="00390FC3">
      <w:pPr>
        <w:pStyle w:val="BodyText"/>
        <w:numPr>
          <w:ilvl w:val="0"/>
          <w:numId w:val="4"/>
        </w:numPr>
        <w:spacing w:line="360" w:lineRule="auto"/>
      </w:pPr>
      <w:r>
        <w:t>The first problem is, Which Christianity? The ABS lists “Christian</w:t>
      </w:r>
      <w:r w:rsidR="00E42BCF">
        <w:t>ity</w:t>
      </w:r>
      <w:r>
        <w:t xml:space="preserve">” as one of the five main religions in Australia, but </w:t>
      </w:r>
      <w:r w:rsidR="00E42BCF">
        <w:t xml:space="preserve">it has dozens of sub-groups. How does the author know that not one single one of the more than 120 religious groups could lead to an adherent harbouring such racist religious views? After all, consider a couple of Christian opinions on interracial marriage. </w:t>
      </w:r>
    </w:p>
    <w:p w14:paraId="686DA937" w14:textId="37C5C0A8" w:rsidR="00DC670C" w:rsidRDefault="00D51524" w:rsidP="00390FC3">
      <w:pPr>
        <w:pStyle w:val="BodyText"/>
        <w:numPr>
          <w:ilvl w:val="0"/>
          <w:numId w:val="4"/>
        </w:numPr>
        <w:spacing w:line="360" w:lineRule="auto"/>
      </w:pPr>
      <w:r>
        <w:t xml:space="preserve">First, consider </w:t>
      </w:r>
      <w:r w:rsidR="00DC670C" w:rsidRPr="00DC670C">
        <w:t xml:space="preserve">the case of the Dutch Reformed Church in South Africa and its absolute support of </w:t>
      </w:r>
      <w:r w:rsidR="00DC670C" w:rsidRPr="00DC670C">
        <w:rPr>
          <w:i/>
        </w:rPr>
        <w:t>apartheid</w:t>
      </w:r>
      <w:r w:rsidR="00DC670C" w:rsidRPr="00DC670C">
        <w:t>. The Church insisted on the total separation and segregation of the races, holding strong views on miscegenation and proh</w:t>
      </w:r>
      <w:r w:rsidR="00DC670C">
        <w:t>ibiting inter-racial marriage.</w:t>
      </w:r>
      <w:r w:rsidR="00DC670C" w:rsidRPr="00DC670C">
        <w:t xml:space="preserve"> The Church Congress stated that </w:t>
      </w:r>
      <w:r w:rsidR="00E072B0">
        <w:t>“</w:t>
      </w:r>
      <w:r w:rsidR="00DC670C" w:rsidRPr="00DC670C">
        <w:t>only carrying out the policy of apartheid in the light of God’s Word and with God’s blessing would provide deliverance from the dark danger of colour mixing and bastardization.</w:t>
      </w:r>
      <w:r w:rsidR="00E072B0">
        <w:t>”</w:t>
      </w:r>
      <w:r w:rsidRPr="00D51524">
        <w:rPr>
          <w:rStyle w:val="FootnoteReference"/>
          <w:rFonts w:asciiTheme="minorHAnsi" w:hAnsiTheme="minorHAnsi"/>
        </w:rPr>
        <w:footnoteReference w:id="2"/>
      </w:r>
    </w:p>
    <w:p w14:paraId="1AC1845E" w14:textId="1291DEF7" w:rsidR="00DC670C" w:rsidRDefault="00DC670C" w:rsidP="00390FC3">
      <w:pPr>
        <w:pStyle w:val="BodyText"/>
        <w:numPr>
          <w:ilvl w:val="0"/>
          <w:numId w:val="4"/>
        </w:numPr>
        <w:spacing w:after="0" w:line="360" w:lineRule="auto"/>
        <w:ind w:left="714" w:hanging="357"/>
        <w:jc w:val="left"/>
      </w:pPr>
      <w:r>
        <w:t xml:space="preserve">Secondly, consider the Supreme Court of Virginia in the case of </w:t>
      </w:r>
      <w:r w:rsidRPr="00DC670C">
        <w:rPr>
          <w:i/>
        </w:rPr>
        <w:t>Loving v Virginia</w:t>
      </w:r>
      <w:r>
        <w:t xml:space="preserve">, sentencing a white man and black woman for </w:t>
      </w:r>
      <w:r w:rsidR="00D51524">
        <w:t xml:space="preserve">the crime of </w:t>
      </w:r>
      <w:r>
        <w:t xml:space="preserve">marrying: </w:t>
      </w:r>
    </w:p>
    <w:p w14:paraId="4AF2C0DA" w14:textId="0AD7C449" w:rsidR="00DC670C" w:rsidRDefault="00DC670C" w:rsidP="00390FC3">
      <w:pPr>
        <w:pStyle w:val="BodyText"/>
        <w:ind w:left="1440"/>
        <w:jc w:val="left"/>
      </w:pPr>
      <w:r w:rsidRPr="00DC670C">
        <w:rPr>
          <w:sz w:val="20"/>
          <w:szCs w:val="20"/>
        </w:rPr>
        <w:t xml:space="preserve">Almighty God created the races white, black, yellow, </w:t>
      </w:r>
      <w:proofErr w:type="spellStart"/>
      <w:r w:rsidRPr="00DC670C">
        <w:rPr>
          <w:sz w:val="20"/>
          <w:szCs w:val="20"/>
        </w:rPr>
        <w:t>malay</w:t>
      </w:r>
      <w:proofErr w:type="spellEnd"/>
      <w:r w:rsidRPr="00DC670C">
        <w:rPr>
          <w:sz w:val="20"/>
          <w:szCs w:val="20"/>
        </w:rPr>
        <w:t xml:space="preserve"> and red, and he placed them on separate continents. And but for the interference with his arrangement there would be no cause for such marriages. The fact that he separated the races shows that he did not intend for the races to mix</w:t>
      </w:r>
      <w:r w:rsidR="00D51524">
        <w:rPr>
          <w:sz w:val="20"/>
          <w:szCs w:val="20"/>
        </w:rPr>
        <w:t>.</w:t>
      </w:r>
      <w:r w:rsidR="002B24C2" w:rsidRPr="00FD5295">
        <w:rPr>
          <w:rStyle w:val="FootnoteReference"/>
          <w:rFonts w:ascii="Helvetica" w:hAnsi="Helvetica"/>
          <w:sz w:val="22"/>
          <w:szCs w:val="22"/>
        </w:rPr>
        <w:footnoteReference w:id="3"/>
      </w:r>
    </w:p>
    <w:p w14:paraId="7181E8DF" w14:textId="40E637EA" w:rsidR="00DC670C" w:rsidRDefault="00AB471A" w:rsidP="00390FC3">
      <w:pPr>
        <w:pStyle w:val="BodyText"/>
        <w:numPr>
          <w:ilvl w:val="0"/>
          <w:numId w:val="4"/>
        </w:numPr>
        <w:spacing w:line="360" w:lineRule="auto"/>
      </w:pPr>
      <w:r>
        <w:t>It is clearly entirely possible that some persons may harbour, and utter in “good faith,” abhorrent “statements of belief” that would distress vulnerable people and clearly constitute “unfavourable treatment” on the basis of whichever bigotry was being displayed—race, sexual orientation, disability, gender identity, unmarried pregnancy</w:t>
      </w:r>
      <w:r w:rsidR="00A66489">
        <w:t>…</w:t>
      </w:r>
      <w:r>
        <w:t>—if done</w:t>
      </w:r>
      <w:r w:rsidR="00A66489">
        <w:t xml:space="preserve"> or condoned at a place of work</w:t>
      </w:r>
      <w:r>
        <w:t xml:space="preserve"> or other area in which discrimination is </w:t>
      </w:r>
      <w:r w:rsidR="00A66489">
        <w:t xml:space="preserve">made </w:t>
      </w:r>
      <w:r>
        <w:t>unlawful</w:t>
      </w:r>
      <w:r w:rsidR="00A66489">
        <w:t xml:space="preserve"> by State or Territory laws</w:t>
      </w:r>
      <w:r>
        <w:t>.</w:t>
      </w:r>
      <w:r w:rsidR="00A66489">
        <w:t xml:space="preserve"> Such statements would cause harm, yet be protected by cl.41 of the EDB, expressly overriding those laws.</w:t>
      </w:r>
    </w:p>
    <w:p w14:paraId="26205193" w14:textId="0CEF948A" w:rsidR="00A66489" w:rsidRDefault="00A66489" w:rsidP="00390FC3">
      <w:pPr>
        <w:pStyle w:val="BodyText"/>
        <w:numPr>
          <w:ilvl w:val="0"/>
          <w:numId w:val="4"/>
        </w:numPr>
        <w:spacing w:line="360" w:lineRule="auto"/>
      </w:pPr>
      <w:r>
        <w:t xml:space="preserve">It is important to </w:t>
      </w:r>
      <w:r w:rsidR="00E072B0">
        <w:t>understand</w:t>
      </w:r>
      <w:r>
        <w:t xml:space="preserve"> that such statements are harmful. They cause psychological distress, especially in people who have an attribute like those just mentioned where persecution and vilification are commonplace incidents of life and the history of such groups. The history of group prejudice, and instances experienced by an individual, combine to create “minority stress”. There is ample evidence that</w:t>
      </w:r>
      <w:r w:rsidR="00C676CC">
        <w:t xml:space="preserve"> this leads to heightened risks</w:t>
      </w:r>
      <w:r>
        <w:t xml:space="preserve"> of illnesses such as depression and anxiety disorder</w:t>
      </w:r>
      <w:r w:rsidR="00E072B0">
        <w:t>, including suicidality</w:t>
      </w:r>
      <w:r>
        <w:t xml:space="preserve">. </w:t>
      </w:r>
    </w:p>
    <w:p w14:paraId="02B17BD8" w14:textId="7A80D5EA" w:rsidR="00C676CC" w:rsidRDefault="00C676CC" w:rsidP="00390FC3">
      <w:pPr>
        <w:pStyle w:val="BodyText"/>
        <w:numPr>
          <w:ilvl w:val="0"/>
          <w:numId w:val="4"/>
        </w:numPr>
        <w:spacing w:line="360" w:lineRule="auto"/>
      </w:pPr>
      <w:r>
        <w:t xml:space="preserve">The marriage law postal survey in 2017 illustrated these harms. Most of the </w:t>
      </w:r>
      <w:r w:rsidR="00E072B0">
        <w:t>“</w:t>
      </w:r>
      <w:r>
        <w:t>No</w:t>
      </w:r>
      <w:r w:rsidR="00E072B0">
        <w:t>”</w:t>
      </w:r>
      <w:r>
        <w:t xml:space="preserve"> case was expressly or implicitly based in religious beliefs, and the constant reiteration of such “statements of belief” had, </w:t>
      </w:r>
      <w:r w:rsidR="00AA530B">
        <w:t xml:space="preserve">as </w:t>
      </w:r>
      <w:r>
        <w:t>the marriage equality campaign expected</w:t>
      </w:r>
      <w:r w:rsidR="00AA530B">
        <w:t xml:space="preserve"> and warned</w:t>
      </w:r>
      <w:r>
        <w:t xml:space="preserve">, serious consequences for many people, including children of same sex couples who were being </w:t>
      </w:r>
      <w:r w:rsidR="00AA530B">
        <w:t>lambasted in the m</w:t>
      </w:r>
      <w:r>
        <w:t xml:space="preserve">edia by </w:t>
      </w:r>
      <w:r w:rsidR="00AA530B">
        <w:t>hurtful</w:t>
      </w:r>
      <w:r>
        <w:t xml:space="preserve"> “sta</w:t>
      </w:r>
      <w:r w:rsidR="00AA530B">
        <w:t>t</w:t>
      </w:r>
      <w:r>
        <w:t>ements of belief</w:t>
      </w:r>
      <w:r w:rsidR="00AA530B">
        <w:t>.</w:t>
      </w:r>
      <w:r>
        <w:t xml:space="preserve">” </w:t>
      </w:r>
    </w:p>
    <w:p w14:paraId="19181F28" w14:textId="387CB364" w:rsidR="00B7169C" w:rsidRDefault="002809E3" w:rsidP="00390FC3">
      <w:pPr>
        <w:pStyle w:val="BodyText"/>
        <w:numPr>
          <w:ilvl w:val="0"/>
          <w:numId w:val="4"/>
        </w:numPr>
        <w:spacing w:line="360" w:lineRule="auto"/>
      </w:pPr>
      <w:r>
        <w:t xml:space="preserve">Second EDB </w:t>
      </w:r>
      <w:r w:rsidR="00B7169C">
        <w:t xml:space="preserve">Clause </w:t>
      </w:r>
      <w:r>
        <w:t xml:space="preserve">42 </w:t>
      </w:r>
      <w:r w:rsidR="00B7169C">
        <w:t>is abhorrent</w:t>
      </w:r>
      <w:r w:rsidR="00E072B0">
        <w:t>. It is inconsistent with Australia’s international human rights treaty obligations and with the stated Objects of the Bill.</w:t>
      </w:r>
      <w:r w:rsidR="00B7169C">
        <w:t xml:space="preserve"> </w:t>
      </w:r>
      <w:r w:rsidR="00E072B0">
        <w:t>Liberty submits it</w:t>
      </w:r>
      <w:r w:rsidR="00B7169C">
        <w:t xml:space="preserve"> must be omitted from the EDB.</w:t>
      </w:r>
    </w:p>
    <w:p w14:paraId="1BCF90A4" w14:textId="77777777" w:rsidR="00D1733B" w:rsidRDefault="00D1733B" w:rsidP="00390FC3">
      <w:pPr>
        <w:pStyle w:val="Heading1"/>
        <w:spacing w:line="360" w:lineRule="auto"/>
      </w:pPr>
      <w:r>
        <w:t>Part 5—Offences</w:t>
      </w:r>
    </w:p>
    <w:p w14:paraId="3EE44B5A" w14:textId="07B8B43B" w:rsidR="00D1733B" w:rsidRDefault="00D1733B" w:rsidP="00390FC3">
      <w:pPr>
        <w:pStyle w:val="BodyText"/>
        <w:numPr>
          <w:ilvl w:val="0"/>
          <w:numId w:val="4"/>
        </w:numPr>
        <w:spacing w:line="360" w:lineRule="auto"/>
      </w:pPr>
      <w:r>
        <w:t>The provisions here appear routine and unobjectionable.</w:t>
      </w:r>
    </w:p>
    <w:p w14:paraId="04FBC333" w14:textId="6B59EAE2" w:rsidR="00D1733B" w:rsidRDefault="00D1733B" w:rsidP="00390FC3">
      <w:pPr>
        <w:pStyle w:val="Heading1"/>
        <w:spacing w:line="360" w:lineRule="auto"/>
      </w:pPr>
      <w:r w:rsidRPr="00D1733B">
        <w:t>PART 6—FREEDOM OF RELIGION COMMISSIONER</w:t>
      </w:r>
    </w:p>
    <w:p w14:paraId="53E6E8FD" w14:textId="14AAFBA8" w:rsidR="00D1733B" w:rsidRDefault="00D1733B" w:rsidP="00390FC3">
      <w:pPr>
        <w:pStyle w:val="BodyText"/>
        <w:numPr>
          <w:ilvl w:val="0"/>
          <w:numId w:val="4"/>
        </w:numPr>
        <w:spacing w:line="360" w:lineRule="auto"/>
      </w:pPr>
      <w:r>
        <w:t xml:space="preserve">This title rather gives the game away. Far from being an anti-discrimination Bill, this title invokes the </w:t>
      </w:r>
      <w:r w:rsidR="00700075">
        <w:t xml:space="preserve">notion </w:t>
      </w:r>
      <w:r>
        <w:t>imported from the USA of “religious freedoms”—a euphemism for religious privilege</w:t>
      </w:r>
      <w:r w:rsidR="00700075">
        <w:t xml:space="preserve">. </w:t>
      </w:r>
    </w:p>
    <w:p w14:paraId="270562C6" w14:textId="321EE18C" w:rsidR="00700075" w:rsidRDefault="00700075" w:rsidP="00390FC3">
      <w:pPr>
        <w:pStyle w:val="BodyText"/>
        <w:numPr>
          <w:ilvl w:val="0"/>
          <w:numId w:val="4"/>
        </w:numPr>
        <w:spacing w:line="360" w:lineRule="auto"/>
      </w:pPr>
      <w:r>
        <w:t>Even under a less jarring title Liberty does not see the need for a separate commissioner. The human rights commissioner handles other attributes adequately, though no doubt additional funding would be needed for work developing, educating and promoting, as well as handling complaints under, a new attribute.</w:t>
      </w:r>
    </w:p>
    <w:p w14:paraId="2406C0CB" w14:textId="1309D562" w:rsidR="00700075" w:rsidRDefault="00632072" w:rsidP="00390FC3">
      <w:pPr>
        <w:pStyle w:val="BodyText"/>
        <w:numPr>
          <w:ilvl w:val="0"/>
          <w:numId w:val="4"/>
        </w:numPr>
        <w:spacing w:line="360" w:lineRule="auto"/>
      </w:pPr>
      <w:r>
        <w:t xml:space="preserve">In this respect Liberty agrees with the conclusion of the </w:t>
      </w:r>
      <w:r w:rsidR="009D4353">
        <w:t xml:space="preserve">Religious Freedom </w:t>
      </w:r>
      <w:r>
        <w:t>Review</w:t>
      </w:r>
      <w:r w:rsidR="009D4353">
        <w:t>’s</w:t>
      </w:r>
      <w:r w:rsidR="009D4353" w:rsidRPr="009D4353">
        <w:t xml:space="preserve"> </w:t>
      </w:r>
      <w:r w:rsidR="009D4353">
        <w:t>Expert Panel (“the Ruddock Review”), which was “</w:t>
      </w:r>
      <w:r w:rsidR="009D4353" w:rsidRPr="009D4353">
        <w:t>of the view that the appointment of an additional commissioner is not necessary</w:t>
      </w:r>
      <w:r w:rsidR="009D4353">
        <w:t>.”</w:t>
      </w:r>
      <w:r w:rsidR="009D4353" w:rsidRPr="009D4353">
        <w:rPr>
          <w:rStyle w:val="FootnoteReference"/>
          <w:rFonts w:asciiTheme="minorHAnsi" w:hAnsiTheme="minorHAnsi"/>
        </w:rPr>
        <w:footnoteReference w:id="4"/>
      </w:r>
    </w:p>
    <w:p w14:paraId="54630AB5" w14:textId="65AD1434" w:rsidR="007D3CB0" w:rsidRDefault="007D3CB0" w:rsidP="00390FC3">
      <w:pPr>
        <w:pStyle w:val="BodyText"/>
        <w:numPr>
          <w:ilvl w:val="0"/>
          <w:numId w:val="4"/>
        </w:numPr>
        <w:spacing w:line="360" w:lineRule="auto"/>
      </w:pPr>
      <w:r>
        <w:t>To the extent that a commissioner responsible for the attribute of religious belief or activity might be needed, it should fall to the Human Rights Commissioner.</w:t>
      </w:r>
    </w:p>
    <w:p w14:paraId="6D58BBA2" w14:textId="562BE207" w:rsidR="001279BA" w:rsidRDefault="001279BA" w:rsidP="00390FC3">
      <w:pPr>
        <w:pStyle w:val="Heading1"/>
        <w:spacing w:line="360" w:lineRule="auto"/>
      </w:pPr>
      <w:r w:rsidRPr="00D1733B">
        <w:t xml:space="preserve">PART </w:t>
      </w:r>
      <w:r>
        <w:t>8</w:t>
      </w:r>
      <w:r w:rsidRPr="00D1733B">
        <w:t>—</w:t>
      </w:r>
      <w:r>
        <w:t>…</w:t>
      </w:r>
      <w:r w:rsidRPr="00D1733B">
        <w:t xml:space="preserve"> </w:t>
      </w:r>
      <w:r>
        <w:t>constitutional provisions</w:t>
      </w:r>
    </w:p>
    <w:p w14:paraId="291ED632" w14:textId="7046E13C" w:rsidR="009D4353" w:rsidRPr="00DB69CA" w:rsidRDefault="001279BA" w:rsidP="00390FC3">
      <w:pPr>
        <w:pStyle w:val="BodyText"/>
        <w:numPr>
          <w:ilvl w:val="0"/>
          <w:numId w:val="4"/>
        </w:numPr>
        <w:spacing w:line="360" w:lineRule="auto"/>
        <w:rPr>
          <w:rFonts w:ascii="Palatino Linotype" w:hAnsi="Palatino Linotype"/>
        </w:rPr>
      </w:pPr>
      <w:r w:rsidRPr="00DB69CA">
        <w:rPr>
          <w:rFonts w:ascii="Palatino Linotype" w:hAnsi="Palatino Linotype"/>
        </w:rPr>
        <w:t xml:space="preserve">In essence, the EDB relies on the external affairs power (as other Commonwealth anti-discrimination laws do), </w:t>
      </w:r>
      <w:r w:rsidR="00DB69CA" w:rsidRPr="00DB69CA">
        <w:rPr>
          <w:rFonts w:ascii="Palatino Linotype" w:hAnsi="Palatino Linotype" w:cs="Arial"/>
          <w:color w:val="222222"/>
          <w:shd w:val="clear" w:color="auto" w:fill="FFFFFF"/>
        </w:rPr>
        <w:t>however, unlike other anti discrimination laws, the ERB gives a privileged status to religious freedoms. This is likely to make the Bill inconsistent with international law</w:t>
      </w:r>
      <w:r w:rsidR="00DB69CA" w:rsidRPr="00DB69CA">
        <w:rPr>
          <w:rStyle w:val="FootnoteReference"/>
          <w:rFonts w:ascii="Palatino Linotype" w:hAnsi="Palatino Linotype"/>
        </w:rPr>
        <w:footnoteReference w:id="5"/>
      </w:r>
      <w:r w:rsidR="00DB69CA" w:rsidRPr="00DB69CA">
        <w:rPr>
          <w:rFonts w:ascii="Palatino Linotype" w:hAnsi="Palatino Linotype" w:cs="Arial"/>
          <w:color w:val="222222"/>
          <w:shd w:val="clear" w:color="auto" w:fill="FFFFFF"/>
        </w:rPr>
        <w:t xml:space="preserve">, </w:t>
      </w:r>
      <w:r w:rsidR="007D3CB0">
        <w:rPr>
          <w:rFonts w:ascii="Palatino Linotype" w:hAnsi="Palatino Linotype" w:cs="Arial"/>
          <w:color w:val="222222"/>
          <w:shd w:val="clear" w:color="auto" w:fill="FFFFFF"/>
        </w:rPr>
        <w:t>so that</w:t>
      </w:r>
      <w:r w:rsidR="00DB69CA" w:rsidRPr="00DB69CA">
        <w:rPr>
          <w:rFonts w:ascii="Palatino Linotype" w:hAnsi="Palatino Linotype" w:cs="Arial"/>
          <w:color w:val="222222"/>
          <w:shd w:val="clear" w:color="auto" w:fill="FFFFFF"/>
        </w:rPr>
        <w:t xml:space="preserve"> reliance cannot be placed on that constitutional head of power for the Bill to be valid. </w:t>
      </w:r>
      <w:r w:rsidRPr="00DB69CA">
        <w:rPr>
          <w:rFonts w:ascii="Palatino Linotype" w:hAnsi="Palatino Linotype"/>
        </w:rPr>
        <w:t>It is unlikely any other head of power can support such a law. If the government insists on the external affairs power, this will require that, consistent</w:t>
      </w:r>
      <w:r w:rsidR="00B14586" w:rsidRPr="00DB69CA">
        <w:rPr>
          <w:rFonts w:ascii="Palatino Linotype" w:hAnsi="Palatino Linotype"/>
        </w:rPr>
        <w:t>ly</w:t>
      </w:r>
      <w:r w:rsidRPr="00DB69CA">
        <w:rPr>
          <w:rFonts w:ascii="Palatino Linotype" w:hAnsi="Palatino Linotype"/>
        </w:rPr>
        <w:t xml:space="preserve"> with the foregoing discussion</w:t>
      </w:r>
      <w:r w:rsidR="003F44BF" w:rsidRPr="00DB69CA">
        <w:rPr>
          <w:rFonts w:ascii="Palatino Linotype" w:hAnsi="Palatino Linotype"/>
        </w:rPr>
        <w:t>,</w:t>
      </w:r>
      <w:r w:rsidRPr="00DB69CA">
        <w:rPr>
          <w:rFonts w:ascii="Palatino Linotype" w:hAnsi="Palatino Linotype"/>
        </w:rPr>
        <w:t xml:space="preserve"> the Bill needs to be </w:t>
      </w:r>
      <w:r w:rsidR="00285382" w:rsidRPr="00DB69CA">
        <w:rPr>
          <w:rFonts w:ascii="Palatino Linotype" w:hAnsi="Palatino Linotype"/>
        </w:rPr>
        <w:t>firmly pruned</w:t>
      </w:r>
      <w:r w:rsidRPr="00DB69CA">
        <w:rPr>
          <w:rFonts w:ascii="Palatino Linotype" w:hAnsi="Palatino Linotype"/>
        </w:rPr>
        <w:t>, making it align with other anti-discrimination laws</w:t>
      </w:r>
      <w:r w:rsidR="003F44BF" w:rsidRPr="00DB69CA">
        <w:rPr>
          <w:rFonts w:ascii="Palatino Linotype" w:hAnsi="Palatino Linotype"/>
        </w:rPr>
        <w:t>.</w:t>
      </w:r>
    </w:p>
    <w:p w14:paraId="1C7F11AE" w14:textId="39D44EBD" w:rsidR="003F44BF" w:rsidRDefault="003F44BF" w:rsidP="00390FC3">
      <w:pPr>
        <w:pStyle w:val="Heading1"/>
        <w:spacing w:line="360" w:lineRule="auto"/>
      </w:pPr>
      <w:r>
        <w:t>Context and Conclusion</w:t>
      </w:r>
    </w:p>
    <w:p w14:paraId="032C16BA" w14:textId="6BD91EF4" w:rsidR="003F44BF" w:rsidRDefault="003F44BF" w:rsidP="00390FC3">
      <w:pPr>
        <w:pStyle w:val="BodyText"/>
        <w:numPr>
          <w:ilvl w:val="0"/>
          <w:numId w:val="4"/>
        </w:numPr>
        <w:spacing w:line="360" w:lineRule="auto"/>
      </w:pPr>
      <w:r>
        <w:t xml:space="preserve">The context for this EDB, and in particular for all the items that Liberty in this submission </w:t>
      </w:r>
      <w:r w:rsidR="003A55A1">
        <w:t xml:space="preserve">urges </w:t>
      </w:r>
      <w:r>
        <w:t xml:space="preserve">should be omitted, is generally agreed </w:t>
      </w:r>
      <w:r w:rsidR="003A55A1">
        <w:t>to be the campaign by certain privileged religious and political groups to frustrate marriage equality in 2017, and, having failed in that effort, the follow-up attempts to frustrate the public will clearly demonstrated in the powerful majority vote in the Postal Survey.</w:t>
      </w:r>
    </w:p>
    <w:p w14:paraId="611F6049" w14:textId="3C55D1DA" w:rsidR="000954AF" w:rsidRDefault="000954AF" w:rsidP="00390FC3">
      <w:pPr>
        <w:pStyle w:val="BodyText"/>
        <w:numPr>
          <w:ilvl w:val="0"/>
          <w:numId w:val="4"/>
        </w:numPr>
        <w:spacing w:line="360" w:lineRule="auto"/>
      </w:pPr>
      <w:r>
        <w:t>As has been observed elsewhere, the “No” campaign sought vigorously to make many issues other than marriage equality the focu</w:t>
      </w:r>
      <w:r w:rsidR="00820CE9">
        <w:t>s of the Postal Survey, and ind</w:t>
      </w:r>
      <w:r>
        <w:t xml:space="preserve">eed </w:t>
      </w:r>
      <w:r w:rsidR="00820CE9">
        <w:t xml:space="preserve">held out </w:t>
      </w:r>
      <w:r>
        <w:t xml:space="preserve">precisely the </w:t>
      </w:r>
      <w:r w:rsidR="00820CE9">
        <w:t>sort of claims of religious privilege that mar this EDB. The “Yes” vote in that survey roundly rejected those claims too.</w:t>
      </w:r>
      <w:r w:rsidR="002B7081" w:rsidRPr="00CE5B0C">
        <w:rPr>
          <w:rStyle w:val="FootnoteReference"/>
          <w:rFonts w:asciiTheme="minorHAnsi" w:hAnsiTheme="minorHAnsi"/>
        </w:rPr>
        <w:footnoteReference w:id="6"/>
      </w:r>
      <w:r w:rsidR="00820CE9">
        <w:t xml:space="preserve"> Liberty urges the government to re-draft the EDB accordingly.</w:t>
      </w:r>
      <w:r w:rsidR="00820CE9" w:rsidRPr="00820CE9">
        <w:t xml:space="preserve"> </w:t>
      </w:r>
      <w:r w:rsidR="00820CE9">
        <w:t>(Liberty has not had time to assess the other two bills in this package, and urges that the same principles here adopted be applied to those as well.)</w:t>
      </w:r>
    </w:p>
    <w:p w14:paraId="3AF1996E" w14:textId="77777777" w:rsidR="003A55A1" w:rsidRDefault="003A55A1" w:rsidP="00390FC3">
      <w:pPr>
        <w:pStyle w:val="BodyText"/>
        <w:numPr>
          <w:ilvl w:val="0"/>
          <w:numId w:val="4"/>
        </w:numPr>
        <w:spacing w:after="0" w:line="360" w:lineRule="auto"/>
        <w:ind w:left="714" w:hanging="357"/>
        <w:jc w:val="left"/>
      </w:pPr>
      <w:r>
        <w:t xml:space="preserve">As Liberty has argued in previous submissions, </w:t>
      </w:r>
    </w:p>
    <w:p w14:paraId="03856A69" w14:textId="3092662A" w:rsidR="003A55A1" w:rsidRDefault="003A55A1" w:rsidP="00390FC3">
      <w:pPr>
        <w:pStyle w:val="BodyText"/>
        <w:spacing w:line="360" w:lineRule="auto"/>
        <w:ind w:left="1440"/>
        <w:jc w:val="left"/>
        <w:rPr>
          <w:sz w:val="20"/>
          <w:szCs w:val="20"/>
        </w:rPr>
      </w:pPr>
      <w:r w:rsidRPr="003A55A1">
        <w:rPr>
          <w:sz w:val="20"/>
          <w:szCs w:val="20"/>
        </w:rPr>
        <w:t>The people’s emphatic rejection of the NO campaign’s claims, together with the shocking abuse revealed in the Royal Commission, and the consequent loss of public respect by religious institutions, together mark a shift in public opinion that can no longer be denied.</w:t>
      </w:r>
      <w:r w:rsidRPr="00DD2A28">
        <w:rPr>
          <w:rStyle w:val="FootnoteReference"/>
          <w:rFonts w:asciiTheme="minorHAnsi" w:hAnsiTheme="minorHAnsi"/>
          <w:sz w:val="20"/>
          <w:szCs w:val="20"/>
        </w:rPr>
        <w:footnoteReference w:id="7"/>
      </w:r>
    </w:p>
    <w:p w14:paraId="06FC9B78" w14:textId="31D40CA7" w:rsidR="00DD2A28" w:rsidRDefault="00031A44" w:rsidP="00390FC3">
      <w:pPr>
        <w:pStyle w:val="BodyText"/>
        <w:numPr>
          <w:ilvl w:val="0"/>
          <w:numId w:val="4"/>
        </w:numPr>
        <w:spacing w:line="360" w:lineRule="auto"/>
      </w:pPr>
      <w:r>
        <w:t>That loss of respect is not new</w:t>
      </w:r>
      <w:r w:rsidR="00CC1202" w:rsidRPr="00CC1202">
        <w:rPr>
          <w:rStyle w:val="FootnoteReference"/>
          <w:rFonts w:asciiTheme="minorHAnsi" w:hAnsiTheme="minorHAnsi"/>
        </w:rPr>
        <w:footnoteReference w:id="8"/>
      </w:r>
      <w:r>
        <w:t xml:space="preserve">, and the furore </w:t>
      </w:r>
      <w:r w:rsidR="00CC1202">
        <w:t xml:space="preserve">unleashed by </w:t>
      </w:r>
      <w:r>
        <w:t xml:space="preserve">the release of the “Ruddock Review” recommendations in late 2018 showed that it continues. Notwithstanding that public response, and indeed the Review’s fairly restrained approach to the demands of the more </w:t>
      </w:r>
      <w:r w:rsidR="00CC1202">
        <w:t>insistent</w:t>
      </w:r>
      <w:r>
        <w:t xml:space="preserve"> religious lobbyists</w:t>
      </w:r>
      <w:r w:rsidR="00CC1202">
        <w:t>,</w:t>
      </w:r>
      <w:r>
        <w:t xml:space="preserve"> the government has persisted with seeking to implement them in the present EDB.</w:t>
      </w:r>
    </w:p>
    <w:p w14:paraId="5C1AE080" w14:textId="17783F28" w:rsidR="00820CE9" w:rsidRDefault="00CC1202" w:rsidP="00390FC3">
      <w:pPr>
        <w:pStyle w:val="BodyText"/>
        <w:numPr>
          <w:ilvl w:val="0"/>
          <w:numId w:val="4"/>
        </w:numPr>
        <w:spacing w:line="360" w:lineRule="auto"/>
      </w:pPr>
      <w:r>
        <w:t xml:space="preserve">In this submission Liberty Victoria </w:t>
      </w:r>
      <w:r w:rsidR="000954AF">
        <w:t>has set</w:t>
      </w:r>
      <w:r>
        <w:t xml:space="preserve"> out </w:t>
      </w:r>
      <w:r w:rsidR="000954AF">
        <w:t xml:space="preserve">a number of significant problems with the Exposure Draft Religious Discrimination Bill, and proposes </w:t>
      </w:r>
      <w:r w:rsidR="00660499">
        <w:t>some</w:t>
      </w:r>
      <w:r w:rsidR="000954AF">
        <w:t xml:space="preserve"> necessary omissions and changes required to make it a human rights compatible instrument. </w:t>
      </w:r>
    </w:p>
    <w:p w14:paraId="7350ABDF" w14:textId="4F720BDD" w:rsidR="00820CE9" w:rsidRDefault="00710450" w:rsidP="00390FC3">
      <w:pPr>
        <w:pStyle w:val="BodyText"/>
        <w:spacing w:line="360" w:lineRule="auto"/>
        <w:ind w:left="720"/>
      </w:pPr>
      <w:r>
        <w:t>Liberty Victoria</w:t>
      </w:r>
      <w:r w:rsidR="00820CE9">
        <w:t xml:space="preserve"> urge</w:t>
      </w:r>
      <w:r>
        <w:t>s</w:t>
      </w:r>
      <w:r w:rsidR="00820CE9">
        <w:t xml:space="preserve"> that this be done.</w:t>
      </w:r>
    </w:p>
    <w:p w14:paraId="1CF2BD98" w14:textId="6A3BA7D1" w:rsidR="00B450EB" w:rsidRDefault="00B450EB" w:rsidP="00820CE9">
      <w:pPr>
        <w:pStyle w:val="BodyText"/>
        <w:ind w:left="720"/>
      </w:pPr>
    </w:p>
    <w:p w14:paraId="2FF6CDFC" w14:textId="7487E5FA" w:rsidR="00626881" w:rsidRPr="00A371B3" w:rsidRDefault="00626881" w:rsidP="00626881">
      <w:r w:rsidRPr="00A371B3">
        <w:rPr>
          <w:noProof/>
        </w:rPr>
        <w:drawing>
          <wp:inline distT="0" distB="0" distL="0" distR="0" wp14:anchorId="3EE9F207" wp14:editId="5C8EFCDF">
            <wp:extent cx="2164080" cy="3733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373380"/>
                    </a:xfrm>
                    <a:prstGeom prst="rect">
                      <a:avLst/>
                    </a:prstGeom>
                    <a:noFill/>
                    <a:ln>
                      <a:noFill/>
                    </a:ln>
                  </pic:spPr>
                </pic:pic>
              </a:graphicData>
            </a:graphic>
          </wp:inline>
        </w:drawing>
      </w:r>
    </w:p>
    <w:p w14:paraId="7F8F63E1" w14:textId="4A1B54D7" w:rsidR="00820CE9" w:rsidRDefault="007D3CB0" w:rsidP="00660499">
      <w:pPr>
        <w:pStyle w:val="Signature"/>
        <w:tabs>
          <w:tab w:val="right" w:pos="8647"/>
        </w:tabs>
        <w:ind w:left="720"/>
      </w:pPr>
      <w:r>
        <w:t>Julian Burnside</w:t>
      </w:r>
      <w:r w:rsidR="00820CE9">
        <w:t>,</w:t>
      </w:r>
      <w:r w:rsidR="00820CE9">
        <w:tab/>
      </w:r>
      <w:r w:rsidR="00F22D60" w:rsidRPr="00F22D60">
        <w:rPr>
          <w:noProof/>
          <w:lang w:val="en-US" w:eastAsia="en-US"/>
        </w:rPr>
        <w:drawing>
          <wp:anchor distT="0" distB="0" distL="114300" distR="114300" simplePos="0" relativeHeight="251660288" behindDoc="1" locked="0" layoutInCell="1" allowOverlap="1" wp14:anchorId="78AF0812" wp14:editId="3E541E33">
            <wp:simplePos x="0" y="0"/>
            <wp:positionH relativeFrom="column">
              <wp:posOffset>3420745</wp:posOffset>
            </wp:positionH>
            <wp:positionV relativeFrom="paragraph">
              <wp:posOffset>-107950</wp:posOffset>
            </wp:positionV>
            <wp:extent cx="1939290" cy="8115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939290" cy="8115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20CE9">
        <w:t>Jamie Gardiner,</w:t>
      </w:r>
    </w:p>
    <w:p w14:paraId="36B010A2" w14:textId="56661895" w:rsidR="00820CE9" w:rsidRDefault="00820CE9" w:rsidP="00660499">
      <w:pPr>
        <w:pStyle w:val="Signature"/>
        <w:tabs>
          <w:tab w:val="right" w:pos="8647"/>
        </w:tabs>
        <w:spacing w:before="0"/>
        <w:ind w:left="720"/>
      </w:pPr>
      <w:r>
        <w:t>President,</w:t>
      </w:r>
      <w:r>
        <w:tab/>
        <w:t>Vice-President</w:t>
      </w:r>
    </w:p>
    <w:p w14:paraId="5548754B" w14:textId="3E2D1364" w:rsidR="00820CE9" w:rsidRPr="00820CE9" w:rsidRDefault="00820CE9" w:rsidP="00660499">
      <w:pPr>
        <w:pStyle w:val="Signature"/>
        <w:tabs>
          <w:tab w:val="right" w:pos="8647"/>
        </w:tabs>
        <w:spacing w:before="0"/>
        <w:ind w:left="720"/>
      </w:pPr>
      <w:r>
        <w:t>Liberty Victoria</w:t>
      </w:r>
      <w:r>
        <w:tab/>
        <w:t>Liberty Victoria</w:t>
      </w:r>
    </w:p>
    <w:p w14:paraId="157F79C0" w14:textId="77777777" w:rsidR="00F22D60" w:rsidRDefault="00F22D60">
      <w:pPr>
        <w:rPr>
          <w:rFonts w:ascii="Times New Roman" w:hAnsi="Times New Roman" w:cs="Times New Roman"/>
          <w:sz w:val="20"/>
          <w:szCs w:val="20"/>
        </w:rPr>
      </w:pPr>
    </w:p>
    <w:sectPr w:rsidR="00F22D60">
      <w:footerReference w:type="default" r:id="rId12"/>
      <w:pgSz w:w="11900" w:h="16840"/>
      <w:pgMar w:top="1440" w:right="1440" w:bottom="1134" w:left="1440" w:header="709" w:footer="102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A82D" w14:textId="77777777" w:rsidR="00460347" w:rsidRDefault="00460347">
      <w:r>
        <w:separator/>
      </w:r>
    </w:p>
  </w:endnote>
  <w:endnote w:type="continuationSeparator" w:id="0">
    <w:p w14:paraId="02197802" w14:textId="77777777" w:rsidR="00460347" w:rsidRDefault="0046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Helvetica-Bold">
    <w:charset w:val="00"/>
    <w:family w:val="auto"/>
    <w:pitch w:val="variable"/>
    <w:sig w:usb0="E00002FF" w:usb1="5000785B" w:usb2="00000000" w:usb3="00000000" w:csb0="0000019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AE57" w14:textId="77777777" w:rsidR="00C7009C" w:rsidRDefault="00C7009C">
    <w:pPr>
      <w:pStyle w:val="Footer"/>
      <w:tabs>
        <w:tab w:val="clear" w:pos="4320"/>
        <w:tab w:val="clear" w:pos="8363"/>
        <w:tab w:val="center" w:pos="4536"/>
        <w:tab w:val="right" w:pos="9072"/>
      </w:tabs>
    </w:pPr>
    <w:r>
      <w:tab/>
    </w:r>
    <w:r>
      <w:tab/>
      <w:t xml:space="preserve">Page </w:t>
    </w:r>
    <w:r>
      <w:fldChar w:fldCharType="begin"/>
    </w:r>
    <w:r>
      <w:instrText xml:space="preserve"> PAGE </w:instrText>
    </w:r>
    <w:r>
      <w:fldChar w:fldCharType="separate"/>
    </w:r>
    <w:r w:rsidR="00645B06">
      <w:rPr>
        <w:noProof/>
      </w:rPr>
      <w:t>6</w:t>
    </w:r>
    <w:r>
      <w:fldChar w:fldCharType="end"/>
    </w:r>
    <w:r>
      <w:t xml:space="preserve"> of </w:t>
    </w:r>
    <w:r w:rsidR="00460347">
      <w:fldChar w:fldCharType="begin"/>
    </w:r>
    <w:r w:rsidR="00460347">
      <w:instrText xml:space="preserve"> NUMPAGES </w:instrText>
    </w:r>
    <w:r w:rsidR="00460347">
      <w:fldChar w:fldCharType="separate"/>
    </w:r>
    <w:r w:rsidR="00645B06">
      <w:rPr>
        <w:noProof/>
      </w:rPr>
      <w:t>11</w:t>
    </w:r>
    <w:r w:rsidR="004603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674E" w14:textId="77777777" w:rsidR="00460347" w:rsidRDefault="00460347">
      <w:r>
        <w:separator/>
      </w:r>
    </w:p>
  </w:footnote>
  <w:footnote w:type="continuationSeparator" w:id="0">
    <w:p w14:paraId="44028815" w14:textId="77777777" w:rsidR="00460347" w:rsidRDefault="00460347">
      <w:r>
        <w:continuationSeparator/>
      </w:r>
    </w:p>
  </w:footnote>
  <w:footnote w:id="1">
    <w:p w14:paraId="6D4C1543" w14:textId="708246C2" w:rsidR="00C7009C" w:rsidRPr="004322A0" w:rsidRDefault="00C7009C">
      <w:pPr>
        <w:pStyle w:val="FootnoteText"/>
        <w:rPr>
          <w:lang w:val="en-US"/>
        </w:rPr>
      </w:pPr>
      <w:r w:rsidRPr="004322A0">
        <w:rPr>
          <w:rStyle w:val="FootnoteReference"/>
          <w:rFonts w:asciiTheme="minorHAnsi" w:hAnsiTheme="minorHAnsi"/>
        </w:rPr>
        <w:footnoteRef/>
      </w:r>
      <w:r>
        <w:tab/>
      </w:r>
      <w:r w:rsidRPr="004322A0">
        <w:rPr>
          <w:i/>
        </w:rPr>
        <w:t>Australian Standard Classification of Religious Groups</w:t>
      </w:r>
      <w:r w:rsidRPr="004322A0">
        <w:t>, 1266.0 (3rd ed) ABS 2016: over 130, indeed</w:t>
      </w:r>
    </w:p>
  </w:footnote>
  <w:footnote w:id="2">
    <w:p w14:paraId="7267B9B7" w14:textId="18FF07B7" w:rsidR="00C7009C" w:rsidRPr="00D51524" w:rsidRDefault="00C7009C" w:rsidP="00351F52">
      <w:pPr>
        <w:pStyle w:val="FootnoteText"/>
        <w:spacing w:after="0"/>
        <w:ind w:left="357" w:hanging="357"/>
        <w:rPr>
          <w:lang w:val="en-US"/>
        </w:rPr>
      </w:pPr>
      <w:r w:rsidRPr="00D51524">
        <w:rPr>
          <w:rStyle w:val="FootnoteReference"/>
          <w:rFonts w:asciiTheme="minorHAnsi" w:hAnsiTheme="minorHAnsi"/>
        </w:rPr>
        <w:footnoteRef/>
      </w:r>
      <w:r>
        <w:tab/>
      </w:r>
      <w:r w:rsidRPr="00D51524">
        <w:t xml:space="preserve">Susan Rennie Ritner, ‘The Dutch Reformed Church and Apartheid, </w:t>
      </w:r>
      <w:r w:rsidRPr="00D51524">
        <w:rPr>
          <w:i/>
        </w:rPr>
        <w:t>Journal of Contemporary History</w:t>
      </w:r>
      <w:r w:rsidRPr="00D51524">
        <w:t>, (1967) 2:17, 24</w:t>
      </w:r>
    </w:p>
  </w:footnote>
  <w:footnote w:id="3">
    <w:p w14:paraId="7189C569" w14:textId="43F7F68B" w:rsidR="00C7009C" w:rsidRPr="002B24C2" w:rsidRDefault="00C7009C" w:rsidP="00351F52">
      <w:pPr>
        <w:pStyle w:val="FootnoteText"/>
        <w:spacing w:after="0"/>
        <w:ind w:left="357" w:hanging="357"/>
        <w:rPr>
          <w:lang w:val="en-US"/>
        </w:rPr>
      </w:pPr>
      <w:r w:rsidRPr="002B24C2">
        <w:rPr>
          <w:rStyle w:val="FootnoteReference"/>
          <w:rFonts w:asciiTheme="minorHAnsi" w:hAnsiTheme="minorHAnsi"/>
        </w:rPr>
        <w:footnoteRef/>
      </w:r>
      <w:r>
        <w:tab/>
        <w:t xml:space="preserve">Quoted by the US Supreme Court, voiding the Virginia miscegenation statute: </w:t>
      </w:r>
      <w:r w:rsidRPr="002B24C2">
        <w:rPr>
          <w:szCs w:val="20"/>
        </w:rPr>
        <w:t>388 US 1 (1967)</w:t>
      </w:r>
    </w:p>
  </w:footnote>
  <w:footnote w:id="4">
    <w:p w14:paraId="06E012F9" w14:textId="60D1E448" w:rsidR="00C7009C" w:rsidRPr="009D4353" w:rsidRDefault="00C7009C" w:rsidP="00351F52">
      <w:pPr>
        <w:pStyle w:val="FootnoteText"/>
        <w:spacing w:after="0"/>
        <w:ind w:left="357" w:hanging="357"/>
        <w:rPr>
          <w:rFonts w:asciiTheme="minorHAnsi" w:hAnsiTheme="minorHAnsi"/>
          <w:lang w:val="en-US"/>
        </w:rPr>
      </w:pPr>
      <w:r w:rsidRPr="009D4353">
        <w:rPr>
          <w:rStyle w:val="FootnoteReference"/>
          <w:rFonts w:asciiTheme="minorHAnsi" w:hAnsiTheme="minorHAnsi"/>
        </w:rPr>
        <w:footnoteRef/>
      </w:r>
      <w:r>
        <w:rPr>
          <w:rFonts w:asciiTheme="minorHAnsi" w:hAnsiTheme="minorHAnsi"/>
          <w:lang w:val="en-US"/>
        </w:rPr>
        <w:tab/>
      </w:r>
      <w:r w:rsidRPr="009D4353">
        <w:rPr>
          <w:rFonts w:asciiTheme="minorHAnsi" w:hAnsiTheme="minorHAnsi"/>
          <w:i/>
          <w:lang w:val="en-US"/>
        </w:rPr>
        <w:t>Religious Freedom Review</w:t>
      </w:r>
      <w:r>
        <w:rPr>
          <w:rFonts w:asciiTheme="minorHAnsi" w:hAnsiTheme="minorHAnsi"/>
          <w:lang w:val="en-US"/>
        </w:rPr>
        <w:t>, 2018, p102 paragraph 1.415</w:t>
      </w:r>
    </w:p>
  </w:footnote>
  <w:footnote w:id="5">
    <w:p w14:paraId="5DBFF5A0" w14:textId="77777777" w:rsidR="00C7009C" w:rsidRPr="001279BA" w:rsidRDefault="00C7009C" w:rsidP="00DB69CA">
      <w:pPr>
        <w:pStyle w:val="FootnoteText"/>
        <w:spacing w:after="0"/>
        <w:ind w:left="357" w:hanging="357"/>
        <w:rPr>
          <w:lang w:val="en-US"/>
        </w:rPr>
      </w:pPr>
      <w:r w:rsidRPr="001279BA">
        <w:rPr>
          <w:rStyle w:val="FootnoteReference"/>
          <w:rFonts w:asciiTheme="minorHAnsi" w:hAnsiTheme="minorHAnsi"/>
        </w:rPr>
        <w:footnoteRef/>
      </w:r>
      <w:r>
        <w:tab/>
        <w:t xml:space="preserve">See </w:t>
      </w:r>
      <w:hyperlink r:id="rId1" w:history="1">
        <w:r>
          <w:rPr>
            <w:rStyle w:val="Hyperlink"/>
            <w:rFonts w:ascii="Helvetica" w:eastAsia="Times New Roman" w:hAnsi="Helvetica"/>
            <w:sz w:val="18"/>
            <w:szCs w:val="18"/>
          </w:rPr>
          <w:t>https://www.theguardian.com/world/2019/sep/30/religious-discrimination-bill-may-breach-constitution-by-allowing-doctors-to-refuse-treatment</w:t>
        </w:r>
      </w:hyperlink>
    </w:p>
  </w:footnote>
  <w:footnote w:id="6">
    <w:p w14:paraId="4360745B" w14:textId="731AB16B" w:rsidR="00C7009C" w:rsidRPr="00CE5B0C" w:rsidRDefault="00C7009C" w:rsidP="00CE5B0C">
      <w:pPr>
        <w:pStyle w:val="FootnoteText"/>
        <w:spacing w:after="0"/>
        <w:ind w:left="357" w:hanging="357"/>
        <w:rPr>
          <w:rFonts w:asciiTheme="minorHAnsi" w:hAnsiTheme="minorHAnsi"/>
          <w:lang w:val="en-US"/>
        </w:rPr>
      </w:pPr>
      <w:r w:rsidRPr="00CE5B0C">
        <w:rPr>
          <w:rStyle w:val="FootnoteReference"/>
          <w:rFonts w:asciiTheme="minorHAnsi" w:hAnsiTheme="minorHAnsi"/>
        </w:rPr>
        <w:footnoteRef/>
      </w:r>
      <w:r>
        <w:rPr>
          <w:rFonts w:asciiTheme="minorHAnsi" w:hAnsiTheme="minorHAnsi"/>
          <w:lang w:val="en-US"/>
        </w:rPr>
        <w:tab/>
        <w:t xml:space="preserve">Jamie Gardiner, </w:t>
      </w:r>
      <w:r>
        <w:rPr>
          <w:rFonts w:asciiTheme="minorHAnsi" w:hAnsiTheme="minorHAnsi"/>
          <w:i/>
          <w:lang w:val="en-US"/>
        </w:rPr>
        <w:t>The Meaning of YES…</w:t>
      </w:r>
      <w:r w:rsidRPr="00CE5B0C">
        <w:rPr>
          <w:rFonts w:asciiTheme="minorHAnsi" w:hAnsiTheme="minorHAnsi"/>
          <w:i/>
          <w:lang w:val="en-US"/>
        </w:rPr>
        <w:t>and NO</w:t>
      </w:r>
      <w:r>
        <w:rPr>
          <w:rFonts w:asciiTheme="minorHAnsi" w:hAnsiTheme="minorHAnsi"/>
          <w:lang w:val="en-US"/>
        </w:rPr>
        <w:t xml:space="preserve">, </w:t>
      </w:r>
      <w:r w:rsidRPr="00CE5B0C">
        <w:rPr>
          <w:rFonts w:asciiTheme="minorHAnsi" w:hAnsiTheme="minorHAnsi"/>
          <w:lang w:val="en-US"/>
        </w:rPr>
        <w:t>https://libertyvictoria.org.au/content/meaning-yes…and-no</w:t>
      </w:r>
      <w:r>
        <w:rPr>
          <w:rFonts w:asciiTheme="minorHAnsi" w:hAnsiTheme="minorHAnsi"/>
          <w:lang w:val="en-US"/>
        </w:rPr>
        <w:t xml:space="preserve"> (accessed 2/10/19)</w:t>
      </w:r>
    </w:p>
  </w:footnote>
  <w:footnote w:id="7">
    <w:p w14:paraId="7B66357E" w14:textId="4FB5A80B" w:rsidR="00C7009C" w:rsidRPr="003A55A1" w:rsidRDefault="00C7009C" w:rsidP="00CC1202">
      <w:pPr>
        <w:pStyle w:val="FootnoteText"/>
        <w:spacing w:after="0"/>
        <w:ind w:left="357" w:hanging="357"/>
        <w:jc w:val="left"/>
        <w:rPr>
          <w:rFonts w:asciiTheme="minorHAnsi" w:hAnsiTheme="minorHAnsi"/>
          <w:lang w:val="en-US"/>
        </w:rPr>
      </w:pPr>
      <w:r w:rsidRPr="003A55A1">
        <w:rPr>
          <w:rStyle w:val="FootnoteReference"/>
          <w:rFonts w:asciiTheme="minorHAnsi" w:hAnsiTheme="minorHAnsi"/>
        </w:rPr>
        <w:footnoteRef/>
      </w:r>
      <w:r>
        <w:rPr>
          <w:rFonts w:asciiTheme="minorHAnsi" w:hAnsiTheme="minorHAnsi"/>
          <w:lang w:val="en-US"/>
        </w:rPr>
        <w:tab/>
        <w:t xml:space="preserve">Liberty Victoria, </w:t>
      </w:r>
      <w:r w:rsidRPr="00DD2A28">
        <w:rPr>
          <w:rFonts w:asciiTheme="minorHAnsi" w:hAnsiTheme="minorHAnsi"/>
          <w:i/>
          <w:lang w:val="en-US"/>
        </w:rPr>
        <w:t>Submission 196</w:t>
      </w:r>
      <w:r>
        <w:rPr>
          <w:rFonts w:asciiTheme="minorHAnsi" w:hAnsiTheme="minorHAnsi"/>
          <w:lang w:val="en-US"/>
        </w:rPr>
        <w:t xml:space="preserve">, 21 January 2019, Senate Legal and Constitutional Committee Inquiry into the </w:t>
      </w:r>
      <w:r w:rsidRPr="00CC1202">
        <w:rPr>
          <w:rFonts w:asciiTheme="minorHAnsi" w:hAnsiTheme="minorHAnsi"/>
          <w:i/>
          <w:lang w:val="en-US"/>
        </w:rPr>
        <w:t>Sex Discrimination Amendment (Removing Discrimination Against Students) Bill</w:t>
      </w:r>
      <w:r w:rsidRPr="00DD2A28">
        <w:rPr>
          <w:rFonts w:asciiTheme="minorHAnsi" w:hAnsiTheme="minorHAnsi"/>
          <w:lang w:val="en-US"/>
        </w:rPr>
        <w:t xml:space="preserve"> 2018 (Senator Wong’s Bill)</w:t>
      </w:r>
    </w:p>
  </w:footnote>
  <w:footnote w:id="8">
    <w:p w14:paraId="17FA3E49" w14:textId="1B7268F0" w:rsidR="00C7009C" w:rsidRPr="00CC1202" w:rsidRDefault="00C7009C" w:rsidP="00CC1202">
      <w:pPr>
        <w:pStyle w:val="FootnoteText"/>
        <w:spacing w:after="0"/>
        <w:ind w:left="357" w:hanging="357"/>
        <w:jc w:val="left"/>
        <w:rPr>
          <w:rFonts w:asciiTheme="minorHAnsi" w:hAnsiTheme="minorHAnsi"/>
          <w:lang w:val="en-US"/>
        </w:rPr>
      </w:pPr>
      <w:r w:rsidRPr="00CC1202">
        <w:rPr>
          <w:rStyle w:val="FootnoteReference"/>
          <w:rFonts w:asciiTheme="minorHAnsi" w:hAnsiTheme="minorHAnsi"/>
        </w:rPr>
        <w:footnoteRef/>
      </w:r>
      <w:r>
        <w:rPr>
          <w:rFonts w:asciiTheme="minorHAnsi" w:hAnsiTheme="minorHAnsi"/>
          <w:lang w:val="en-US"/>
        </w:rPr>
        <w:tab/>
      </w:r>
      <w:r w:rsidRPr="00CC1202">
        <w:rPr>
          <w:rFonts w:asciiTheme="minorHAnsi" w:hAnsiTheme="minorHAnsi"/>
          <w:lang w:val="en-US"/>
        </w:rPr>
        <w:t xml:space="preserve">See, for example, Matt Wade, 12/10/2017, “Ipsos global poll: Two in three Australians think religion does more harm than good in the world” </w:t>
      </w:r>
      <w:r w:rsidRPr="00CC1202">
        <w:rPr>
          <w:rFonts w:asciiTheme="minorHAnsi" w:hAnsiTheme="minorHAnsi"/>
          <w:i/>
          <w:lang w:val="en-US"/>
        </w:rPr>
        <w:t>Sydney Morning Herald</w:t>
      </w:r>
      <w:r w:rsidRPr="00CC1202">
        <w:rPr>
          <w:rFonts w:asciiTheme="minorHAnsi" w:hAnsiTheme="minorHAnsi"/>
          <w:lang w:val="en-US"/>
        </w:rPr>
        <w:t xml:space="preserve">, </w:t>
      </w:r>
      <w:hyperlink r:id="rId2" w:history="1">
        <w:r w:rsidRPr="000F3384">
          <w:rPr>
            <w:rStyle w:val="Hyperlink"/>
            <w:rFonts w:asciiTheme="minorHAnsi" w:hAnsiTheme="minorHAnsi" w:cstheme="minorBidi"/>
            <w:lang w:val="en-US"/>
          </w:rPr>
          <w:t>https://www.smh.com.au/national/ipsos-global-poll-two-in-three-australians-think-religion-does-more-harm-than-good-in-the-world-20171012-gyz7ii.html</w:t>
        </w:r>
      </w:hyperlink>
      <w:r>
        <w:rPr>
          <w:rFonts w:asciiTheme="minorHAnsi" w:hAnsiTheme="minorHAnsi"/>
          <w:lang w:val="en-US"/>
        </w:rPr>
        <w:t xml:space="preserve"> (accessed 2 October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9AA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CD10F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CFC5543"/>
    <w:multiLevelType w:val="hybridMultilevel"/>
    <w:tmpl w:val="60DEA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B46879"/>
    <w:multiLevelType w:val="hybridMultilevel"/>
    <w:tmpl w:val="511ABD06"/>
    <w:lvl w:ilvl="0" w:tplc="3FA0414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DF76CD"/>
    <w:multiLevelType w:val="hybridMultilevel"/>
    <w:tmpl w:val="D1C4C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4326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E4D5B2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5"/>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revisionView w:inkAnnotations="0"/>
  <w:defaultTabStop w:val="623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C5"/>
    <w:rsid w:val="00006737"/>
    <w:rsid w:val="00007EAA"/>
    <w:rsid w:val="0001243E"/>
    <w:rsid w:val="00031A44"/>
    <w:rsid w:val="0004576A"/>
    <w:rsid w:val="00071AC5"/>
    <w:rsid w:val="00073AF8"/>
    <w:rsid w:val="00080851"/>
    <w:rsid w:val="00082424"/>
    <w:rsid w:val="000901E3"/>
    <w:rsid w:val="000954AF"/>
    <w:rsid w:val="000A24DB"/>
    <w:rsid w:val="000A671C"/>
    <w:rsid w:val="000A6FE1"/>
    <w:rsid w:val="000B07CC"/>
    <w:rsid w:val="000B1AB8"/>
    <w:rsid w:val="000C0F18"/>
    <w:rsid w:val="000D5017"/>
    <w:rsid w:val="000E652D"/>
    <w:rsid w:val="000E680A"/>
    <w:rsid w:val="000F0B2F"/>
    <w:rsid w:val="000F2448"/>
    <w:rsid w:val="000F5BDA"/>
    <w:rsid w:val="0012110B"/>
    <w:rsid w:val="001255A8"/>
    <w:rsid w:val="001279BA"/>
    <w:rsid w:val="00140E30"/>
    <w:rsid w:val="00180F15"/>
    <w:rsid w:val="001A73BD"/>
    <w:rsid w:val="001D716E"/>
    <w:rsid w:val="001E5DED"/>
    <w:rsid w:val="00212B68"/>
    <w:rsid w:val="00215CF0"/>
    <w:rsid w:val="002275B7"/>
    <w:rsid w:val="0023163D"/>
    <w:rsid w:val="002809E3"/>
    <w:rsid w:val="00285382"/>
    <w:rsid w:val="002A001A"/>
    <w:rsid w:val="002B04CE"/>
    <w:rsid w:val="002B24C2"/>
    <w:rsid w:val="002B7081"/>
    <w:rsid w:val="002C747B"/>
    <w:rsid w:val="002D01F8"/>
    <w:rsid w:val="002D70FD"/>
    <w:rsid w:val="002F0F93"/>
    <w:rsid w:val="00304B5D"/>
    <w:rsid w:val="00307B5E"/>
    <w:rsid w:val="003120F3"/>
    <w:rsid w:val="00345F51"/>
    <w:rsid w:val="00351F52"/>
    <w:rsid w:val="00361D9E"/>
    <w:rsid w:val="00363233"/>
    <w:rsid w:val="00372096"/>
    <w:rsid w:val="003743BA"/>
    <w:rsid w:val="00375188"/>
    <w:rsid w:val="003906BE"/>
    <w:rsid w:val="00390FC3"/>
    <w:rsid w:val="003A55A1"/>
    <w:rsid w:val="003B331B"/>
    <w:rsid w:val="003C45B6"/>
    <w:rsid w:val="003C79D9"/>
    <w:rsid w:val="003E2DAB"/>
    <w:rsid w:val="003F14A5"/>
    <w:rsid w:val="003F29B2"/>
    <w:rsid w:val="003F2DDC"/>
    <w:rsid w:val="003F44BF"/>
    <w:rsid w:val="004322A0"/>
    <w:rsid w:val="0045235C"/>
    <w:rsid w:val="00455F4C"/>
    <w:rsid w:val="00460347"/>
    <w:rsid w:val="004B3085"/>
    <w:rsid w:val="004B59FD"/>
    <w:rsid w:val="004D6357"/>
    <w:rsid w:val="004E7FC2"/>
    <w:rsid w:val="00504F5C"/>
    <w:rsid w:val="00510BA1"/>
    <w:rsid w:val="005202FD"/>
    <w:rsid w:val="005339F0"/>
    <w:rsid w:val="00544789"/>
    <w:rsid w:val="00545674"/>
    <w:rsid w:val="00546140"/>
    <w:rsid w:val="0056208C"/>
    <w:rsid w:val="0056674B"/>
    <w:rsid w:val="005824DB"/>
    <w:rsid w:val="00586C7B"/>
    <w:rsid w:val="005C2F26"/>
    <w:rsid w:val="005F300F"/>
    <w:rsid w:val="005F79CC"/>
    <w:rsid w:val="00603DC7"/>
    <w:rsid w:val="00623F49"/>
    <w:rsid w:val="00626448"/>
    <w:rsid w:val="00626881"/>
    <w:rsid w:val="00632072"/>
    <w:rsid w:val="00645B06"/>
    <w:rsid w:val="00646931"/>
    <w:rsid w:val="00660499"/>
    <w:rsid w:val="006A3624"/>
    <w:rsid w:val="006C7A82"/>
    <w:rsid w:val="006D6BB5"/>
    <w:rsid w:val="006D703D"/>
    <w:rsid w:val="00700075"/>
    <w:rsid w:val="00710450"/>
    <w:rsid w:val="007149A7"/>
    <w:rsid w:val="0071563F"/>
    <w:rsid w:val="00745449"/>
    <w:rsid w:val="007A72AA"/>
    <w:rsid w:val="007C7AF4"/>
    <w:rsid w:val="007D245A"/>
    <w:rsid w:val="007D3CB0"/>
    <w:rsid w:val="007E6296"/>
    <w:rsid w:val="007F36E7"/>
    <w:rsid w:val="007F52F5"/>
    <w:rsid w:val="00820CE9"/>
    <w:rsid w:val="008371EF"/>
    <w:rsid w:val="00852C6B"/>
    <w:rsid w:val="00857C4A"/>
    <w:rsid w:val="0088367B"/>
    <w:rsid w:val="00897D29"/>
    <w:rsid w:val="008B2F77"/>
    <w:rsid w:val="008D1467"/>
    <w:rsid w:val="008D16E1"/>
    <w:rsid w:val="008D2348"/>
    <w:rsid w:val="008E132A"/>
    <w:rsid w:val="00911137"/>
    <w:rsid w:val="00912D41"/>
    <w:rsid w:val="009139CD"/>
    <w:rsid w:val="00914348"/>
    <w:rsid w:val="009177D4"/>
    <w:rsid w:val="00937386"/>
    <w:rsid w:val="00971996"/>
    <w:rsid w:val="009772F7"/>
    <w:rsid w:val="00985AB5"/>
    <w:rsid w:val="00997B62"/>
    <w:rsid w:val="009A4CC7"/>
    <w:rsid w:val="009A578D"/>
    <w:rsid w:val="009B5690"/>
    <w:rsid w:val="009D4353"/>
    <w:rsid w:val="009E5130"/>
    <w:rsid w:val="00A21CFD"/>
    <w:rsid w:val="00A62224"/>
    <w:rsid w:val="00A66489"/>
    <w:rsid w:val="00A87340"/>
    <w:rsid w:val="00A91BFA"/>
    <w:rsid w:val="00A96BD9"/>
    <w:rsid w:val="00AA530B"/>
    <w:rsid w:val="00AB1760"/>
    <w:rsid w:val="00AB205C"/>
    <w:rsid w:val="00AB471A"/>
    <w:rsid w:val="00AC2C6E"/>
    <w:rsid w:val="00AC3897"/>
    <w:rsid w:val="00AC6F6A"/>
    <w:rsid w:val="00AF1290"/>
    <w:rsid w:val="00B03B6F"/>
    <w:rsid w:val="00B14586"/>
    <w:rsid w:val="00B308F1"/>
    <w:rsid w:val="00B354EB"/>
    <w:rsid w:val="00B421C9"/>
    <w:rsid w:val="00B450EB"/>
    <w:rsid w:val="00B55750"/>
    <w:rsid w:val="00B60C74"/>
    <w:rsid w:val="00B6632E"/>
    <w:rsid w:val="00B6777C"/>
    <w:rsid w:val="00B7169C"/>
    <w:rsid w:val="00B741B3"/>
    <w:rsid w:val="00B80A08"/>
    <w:rsid w:val="00B9016C"/>
    <w:rsid w:val="00B909C2"/>
    <w:rsid w:val="00B92F8F"/>
    <w:rsid w:val="00BC0BFC"/>
    <w:rsid w:val="00BD0826"/>
    <w:rsid w:val="00BE6CF9"/>
    <w:rsid w:val="00BF39F0"/>
    <w:rsid w:val="00C676CC"/>
    <w:rsid w:val="00C7009C"/>
    <w:rsid w:val="00C90207"/>
    <w:rsid w:val="00C91624"/>
    <w:rsid w:val="00CB5540"/>
    <w:rsid w:val="00CB67D6"/>
    <w:rsid w:val="00CC1202"/>
    <w:rsid w:val="00CC20EA"/>
    <w:rsid w:val="00CC41BA"/>
    <w:rsid w:val="00CC51B2"/>
    <w:rsid w:val="00CC6088"/>
    <w:rsid w:val="00CD2036"/>
    <w:rsid w:val="00CD5E94"/>
    <w:rsid w:val="00CE050A"/>
    <w:rsid w:val="00CE1D29"/>
    <w:rsid w:val="00CE5B0C"/>
    <w:rsid w:val="00CE681B"/>
    <w:rsid w:val="00CF1D69"/>
    <w:rsid w:val="00CF25CD"/>
    <w:rsid w:val="00D0542C"/>
    <w:rsid w:val="00D1733B"/>
    <w:rsid w:val="00D34683"/>
    <w:rsid w:val="00D45B4F"/>
    <w:rsid w:val="00D51524"/>
    <w:rsid w:val="00D52AC6"/>
    <w:rsid w:val="00D52B78"/>
    <w:rsid w:val="00D76652"/>
    <w:rsid w:val="00D81B70"/>
    <w:rsid w:val="00D839E5"/>
    <w:rsid w:val="00D870A4"/>
    <w:rsid w:val="00D9263A"/>
    <w:rsid w:val="00D93285"/>
    <w:rsid w:val="00DA0979"/>
    <w:rsid w:val="00DA2AD5"/>
    <w:rsid w:val="00DA2C65"/>
    <w:rsid w:val="00DB69CA"/>
    <w:rsid w:val="00DC670C"/>
    <w:rsid w:val="00DD2A28"/>
    <w:rsid w:val="00DE689D"/>
    <w:rsid w:val="00DF1881"/>
    <w:rsid w:val="00DF3D1A"/>
    <w:rsid w:val="00DF6AF7"/>
    <w:rsid w:val="00E072B0"/>
    <w:rsid w:val="00E14F0F"/>
    <w:rsid w:val="00E15309"/>
    <w:rsid w:val="00E25832"/>
    <w:rsid w:val="00E26E25"/>
    <w:rsid w:val="00E329CA"/>
    <w:rsid w:val="00E332E5"/>
    <w:rsid w:val="00E42BCF"/>
    <w:rsid w:val="00E436A9"/>
    <w:rsid w:val="00E44DE6"/>
    <w:rsid w:val="00E520A3"/>
    <w:rsid w:val="00E84C93"/>
    <w:rsid w:val="00E90200"/>
    <w:rsid w:val="00E92FB6"/>
    <w:rsid w:val="00EA29B0"/>
    <w:rsid w:val="00EA4160"/>
    <w:rsid w:val="00EA5B28"/>
    <w:rsid w:val="00EA77AE"/>
    <w:rsid w:val="00F22D60"/>
    <w:rsid w:val="00F43433"/>
    <w:rsid w:val="00F46ED4"/>
    <w:rsid w:val="00F554B3"/>
    <w:rsid w:val="00F8665A"/>
    <w:rsid w:val="00FB6888"/>
    <w:rsid w:val="00FB6F5D"/>
    <w:rsid w:val="00FC48B7"/>
    <w:rsid w:val="00FD52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966A91"/>
  <w14:defaultImageDpi w14:val="300"/>
  <w15:docId w15:val="{C97B606B-A7F3-40AE-B193-4933CCD7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C2"/>
    <w:pPr>
      <w:spacing w:after="240"/>
      <w:jc w:val="both"/>
    </w:pPr>
    <w:rPr>
      <w:rFonts w:ascii="Palatino" w:hAnsi="Palatino" w:cstheme="minorBidi"/>
      <w:sz w:val="24"/>
      <w:szCs w:val="24"/>
    </w:rPr>
  </w:style>
  <w:style w:type="paragraph" w:styleId="Heading1">
    <w:name w:val="heading 1"/>
    <w:basedOn w:val="Normal"/>
    <w:next w:val="BodyText"/>
    <w:qFormat/>
    <w:pPr>
      <w:keepNext/>
      <w:spacing w:before="240" w:after="60"/>
      <w:outlineLvl w:val="0"/>
    </w:pPr>
    <w:rPr>
      <w:rFonts w:ascii="Arial" w:hAnsi="Arial"/>
      <w:b/>
      <w:kern w:val="28"/>
      <w:sz w:val="28"/>
    </w:rPr>
  </w:style>
  <w:style w:type="paragraph" w:styleId="Heading2">
    <w:name w:val="heading 2"/>
    <w:basedOn w:val="Normal"/>
    <w:next w:val="BodyText"/>
    <w:qFormat/>
    <w:pPr>
      <w:keepNext/>
      <w:spacing w:before="120" w:after="60"/>
      <w:outlineLvl w:val="1"/>
    </w:pPr>
    <w:rPr>
      <w:rFonts w:ascii="Helvetica" w:hAnsi="Helvetica"/>
      <w:b/>
      <w:i/>
    </w:rPr>
  </w:style>
  <w:style w:type="paragraph" w:styleId="Heading3">
    <w:name w:val="heading 3"/>
    <w:basedOn w:val="Normal"/>
    <w:next w:val="BodyText"/>
    <w:qFormat/>
    <w:pPr>
      <w:keepNext/>
      <w:spacing w:before="240" w:after="60"/>
      <w:outlineLvl w:val="2"/>
    </w:pPr>
    <w:rPr>
      <w:rFonts w:ascii="Helvetica" w:hAnsi="Helvetica"/>
    </w:rPr>
  </w:style>
  <w:style w:type="paragraph" w:styleId="Heading4">
    <w:name w:val="heading 4"/>
    <w:basedOn w:val="Normal"/>
    <w:next w:val="Normal"/>
    <w:link w:val="Heading4Char"/>
    <w:uiPriority w:val="9"/>
    <w:semiHidden/>
    <w:unhideWhenUsed/>
    <w:qFormat/>
    <w:rsid w:val="00B03B6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3B6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3B6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3B6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3B6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3B6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Address">
    <w:name w:val="Address"/>
    <w:basedOn w:val="BodyText"/>
    <w:next w:val="Date"/>
    <w:pPr>
      <w:spacing w:after="480"/>
    </w:pPr>
  </w:style>
  <w:style w:type="paragraph" w:styleId="Date">
    <w:name w:val="Date"/>
    <w:basedOn w:val="Normal"/>
    <w:next w:val="Salutation"/>
    <w:pPr>
      <w:spacing w:before="480"/>
    </w:pPr>
  </w:style>
  <w:style w:type="paragraph" w:customStyle="1" w:styleId="enc">
    <w:name w:val="enc"/>
    <w:basedOn w:val="Normal"/>
    <w:next w:val="Normal"/>
    <w:pPr>
      <w:spacing w:before="240"/>
      <w:ind w:left="-360"/>
    </w:pPr>
  </w:style>
  <w:style w:type="paragraph" w:customStyle="1" w:styleId="Enclosure">
    <w:name w:val="Enclosure"/>
    <w:basedOn w:val="BodyText"/>
    <w:pPr>
      <w:spacing w:before="120" w:after="0"/>
      <w:ind w:left="-432"/>
    </w:pPr>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Footer">
    <w:name w:val="footer"/>
    <w:basedOn w:val="Normal"/>
    <w:pPr>
      <w:tabs>
        <w:tab w:val="center" w:pos="4320"/>
        <w:tab w:val="right" w:pos="8363"/>
      </w:tabs>
    </w:pPr>
    <w:rPr>
      <w:sz w:val="12"/>
    </w:rPr>
  </w:style>
  <w:style w:type="paragraph" w:styleId="Header">
    <w:name w:val="header"/>
    <w:basedOn w:val="Normal"/>
    <w:pPr>
      <w:tabs>
        <w:tab w:val="center" w:pos="4320"/>
        <w:tab w:val="right" w:pos="8640"/>
      </w:tabs>
    </w:pPr>
  </w:style>
  <w:style w:type="paragraph" w:customStyle="1" w:styleId="instructions">
    <w:name w:val="instructions"/>
    <w:basedOn w:val="Normal"/>
    <w:next w:val="Normal"/>
    <w:pPr>
      <w:widowControl w:val="0"/>
      <w:spacing w:after="120"/>
    </w:pPr>
    <w:rPr>
      <w:rFonts w:ascii="Helvetica" w:hAnsi="Helvetica"/>
      <w:vanish/>
      <w:sz w:val="20"/>
    </w:rPr>
  </w:style>
  <w:style w:type="character" w:styleId="PageNumber">
    <w:name w:val="page number"/>
    <w:basedOn w:val="DefaultParagraphFont"/>
  </w:style>
  <w:style w:type="paragraph" w:customStyle="1" w:styleId="Re">
    <w:name w:val="Re:"/>
    <w:basedOn w:val="BodyText"/>
    <w:next w:val="BodyText"/>
    <w:pPr>
      <w:spacing w:before="120"/>
    </w:pPr>
    <w:rPr>
      <w:b/>
    </w:rPr>
  </w:style>
  <w:style w:type="paragraph" w:styleId="Salutation">
    <w:name w:val="Salutation"/>
    <w:basedOn w:val="Normal"/>
    <w:next w:val="Re"/>
    <w:pPr>
      <w:spacing w:before="360" w:after="360"/>
    </w:pPr>
  </w:style>
  <w:style w:type="paragraph" w:styleId="Signature">
    <w:name w:val="Signature"/>
    <w:basedOn w:val="BodyText"/>
    <w:next w:val="Enclosure"/>
    <w:pPr>
      <w:spacing w:before="960" w:after="0"/>
    </w:pPr>
  </w:style>
  <w:style w:type="paragraph" w:customStyle="1" w:styleId="Tablebody">
    <w:name w:val="Table body"/>
    <w:basedOn w:val="Normal"/>
    <w:pPr>
      <w:spacing w:after="60"/>
    </w:pPr>
  </w:style>
  <w:style w:type="paragraph" w:customStyle="1" w:styleId="Toaddress">
    <w:name w:val="To address"/>
    <w:basedOn w:val="Normal"/>
    <w:next w:val="Date"/>
    <w:pPr>
      <w:spacing w:before="1440"/>
    </w:pPr>
  </w:style>
  <w:style w:type="paragraph" w:customStyle="1" w:styleId="Yours">
    <w:name w:val="Yours"/>
    <w:basedOn w:val="BodyText"/>
    <w:next w:val="Signature"/>
    <w:pPr>
      <w:spacing w:before="240" w:after="0"/>
    </w:pPr>
  </w:style>
  <w:style w:type="paragraph" w:customStyle="1" w:styleId="Spaced">
    <w:name w:val="Spaced"/>
    <w:basedOn w:val="Normal"/>
    <w:pPr>
      <w:spacing w:before="240" w:line="360" w:lineRule="auto"/>
    </w:pPr>
  </w:style>
  <w:style w:type="paragraph" w:customStyle="1" w:styleId="Return">
    <w:name w:val="Return"/>
    <w:basedOn w:val="Address"/>
    <w:next w:val="Address"/>
    <w:pPr>
      <w:jc w:val="right"/>
    </w:pPr>
  </w:style>
  <w:style w:type="character" w:customStyle="1" w:styleId="Hidden">
    <w:name w:val="Hidden"/>
    <w:basedOn w:val="DefaultParagraphFont"/>
    <w:rPr>
      <w:vanish/>
    </w:rPr>
  </w:style>
  <w:style w:type="paragraph" w:styleId="FootnoteText">
    <w:name w:val="footnote text"/>
    <w:basedOn w:val="Normal"/>
    <w:pPr>
      <w:ind w:left="360" w:hanging="360"/>
    </w:pPr>
    <w:rPr>
      <w:sz w:val="20"/>
    </w:rPr>
  </w:style>
  <w:style w:type="character" w:customStyle="1" w:styleId="italics">
    <w:name w:val="italics"/>
    <w:basedOn w:val="DefaultParagraphFont"/>
    <w:rPr>
      <w:i/>
    </w:rPr>
  </w:style>
  <w:style w:type="paragraph" w:styleId="BodyText2">
    <w:name w:val="Body Text 2"/>
    <w:basedOn w:val="BodyText"/>
    <w:pPr>
      <w:spacing w:line="480" w:lineRule="auto"/>
    </w:pPr>
  </w:style>
  <w:style w:type="paragraph" w:styleId="BodyText3">
    <w:name w:val="Body Text 3"/>
    <w:basedOn w:val="BodyText"/>
    <w:rPr>
      <w:sz w:val="16"/>
    </w:rPr>
  </w:style>
  <w:style w:type="paragraph" w:styleId="BodyTextIndent">
    <w:name w:val="Body Text Indent"/>
    <w:basedOn w:val="BodyText"/>
    <w:pPr>
      <w:ind w:left="283"/>
    </w:pPr>
  </w:style>
  <w:style w:type="paragraph" w:styleId="BodyTextIndent2">
    <w:name w:val="Body Text Indent 2"/>
    <w:basedOn w:val="BodyText"/>
    <w:pPr>
      <w:spacing w:line="480" w:lineRule="auto"/>
      <w:ind w:left="283"/>
    </w:pPr>
  </w:style>
  <w:style w:type="paragraph" w:styleId="BodyTextIndent3">
    <w:name w:val="Body Text Indent 3"/>
    <w:basedOn w:val="BodyText"/>
    <w:pPr>
      <w:ind w:left="283"/>
    </w:pPr>
    <w:rPr>
      <w:sz w:val="16"/>
    </w:rPr>
  </w:style>
  <w:style w:type="paragraph" w:customStyle="1" w:styleId="ElectoralRoll">
    <w:name w:val="ElectoralRoll"/>
    <w:basedOn w:val="Normal"/>
    <w:rsid w:val="00FD147F"/>
    <w:pPr>
      <w:widowControl w:val="0"/>
      <w:tabs>
        <w:tab w:val="right" w:pos="636"/>
        <w:tab w:val="left" w:pos="726"/>
        <w:tab w:val="center" w:pos="3488"/>
        <w:tab w:val="left" w:pos="3915"/>
        <w:tab w:val="right" w:pos="11316"/>
        <w:tab w:val="left" w:pos="11406"/>
        <w:tab w:val="left" w:pos="13549"/>
      </w:tabs>
      <w:autoSpaceDE w:val="0"/>
      <w:autoSpaceDN w:val="0"/>
      <w:adjustRightInd w:val="0"/>
    </w:pPr>
    <w:rPr>
      <w:rFonts w:cs="Arial"/>
      <w:sz w:val="16"/>
      <w:szCs w:val="16"/>
    </w:rPr>
  </w:style>
  <w:style w:type="character" w:styleId="Hyperlink">
    <w:name w:val="Hyperlink"/>
    <w:basedOn w:val="DefaultParagraphFont"/>
    <w:rsid w:val="00911137"/>
    <w:rPr>
      <w:rFonts w:cs="Times New Roman"/>
      <w:color w:val="0000FF"/>
      <w:u w:val="single"/>
    </w:rPr>
  </w:style>
  <w:style w:type="character" w:customStyle="1" w:styleId="Heading4Char">
    <w:name w:val="Heading 4 Char"/>
    <w:basedOn w:val="DefaultParagraphFont"/>
    <w:link w:val="Heading4"/>
    <w:uiPriority w:val="9"/>
    <w:semiHidden/>
    <w:rsid w:val="00B03B6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03B6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03B6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03B6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03B6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03B6F"/>
    <w:rPr>
      <w:rFonts w:asciiTheme="majorHAnsi" w:eastAsiaTheme="majorEastAsia" w:hAnsiTheme="majorHAnsi" w:cstheme="majorBidi"/>
      <w:i/>
      <w:iCs/>
      <w:color w:val="404040" w:themeColor="text1" w:themeTint="BF"/>
    </w:rPr>
  </w:style>
  <w:style w:type="character" w:styleId="FootnoteReference">
    <w:name w:val="footnote reference"/>
    <w:basedOn w:val="DefaultParagraphFont"/>
    <w:uiPriority w:val="99"/>
    <w:unhideWhenUsed/>
    <w:rsid w:val="002B24C2"/>
    <w:rPr>
      <w:vertAlign w:val="superscript"/>
    </w:rPr>
  </w:style>
  <w:style w:type="paragraph" w:styleId="BalloonText">
    <w:name w:val="Balloon Text"/>
    <w:basedOn w:val="Normal"/>
    <w:link w:val="BalloonTextChar"/>
    <w:uiPriority w:val="99"/>
    <w:semiHidden/>
    <w:unhideWhenUsed/>
    <w:rsid w:val="002D01F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1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72B0"/>
    <w:rPr>
      <w:sz w:val="16"/>
      <w:szCs w:val="16"/>
    </w:rPr>
  </w:style>
  <w:style w:type="table" w:styleId="LightGrid-Accent2">
    <w:name w:val="Light Grid Accent 2"/>
    <w:basedOn w:val="TableNormal"/>
    <w:uiPriority w:val="62"/>
    <w:rsid w:val="00E072B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E0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79BA"/>
  </w:style>
  <w:style w:type="character" w:styleId="FollowedHyperlink">
    <w:name w:val="FollowedHyperlink"/>
    <w:basedOn w:val="DefaultParagraphFont"/>
    <w:uiPriority w:val="99"/>
    <w:semiHidden/>
    <w:unhideWhenUsed/>
    <w:rsid w:val="00DA0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74547">
      <w:bodyDiv w:val="1"/>
      <w:marLeft w:val="0"/>
      <w:marRight w:val="0"/>
      <w:marTop w:val="0"/>
      <w:marBottom w:val="0"/>
      <w:divBdr>
        <w:top w:val="none" w:sz="0" w:space="0" w:color="auto"/>
        <w:left w:val="none" w:sz="0" w:space="0" w:color="auto"/>
        <w:bottom w:val="none" w:sz="0" w:space="0" w:color="auto"/>
        <w:right w:val="none" w:sz="0" w:space="0" w:color="auto"/>
      </w:divBdr>
      <w:divsChild>
        <w:div w:id="1804888398">
          <w:marLeft w:val="0"/>
          <w:marRight w:val="0"/>
          <w:marTop w:val="0"/>
          <w:marBottom w:val="0"/>
          <w:divBdr>
            <w:top w:val="none" w:sz="0" w:space="0" w:color="auto"/>
            <w:left w:val="none" w:sz="0" w:space="0" w:color="auto"/>
            <w:bottom w:val="none" w:sz="0" w:space="0" w:color="auto"/>
            <w:right w:val="none" w:sz="0" w:space="0" w:color="auto"/>
          </w:divBdr>
        </w:div>
        <w:div w:id="158083377">
          <w:marLeft w:val="0"/>
          <w:marRight w:val="0"/>
          <w:marTop w:val="0"/>
          <w:marBottom w:val="0"/>
          <w:divBdr>
            <w:top w:val="none" w:sz="0" w:space="0" w:color="auto"/>
            <w:left w:val="none" w:sz="0" w:space="0" w:color="auto"/>
            <w:bottom w:val="none" w:sz="0" w:space="0" w:color="auto"/>
            <w:right w:val="none" w:sz="0" w:space="0" w:color="auto"/>
          </w:divBdr>
        </w:div>
        <w:div w:id="1180005612">
          <w:marLeft w:val="0"/>
          <w:marRight w:val="0"/>
          <w:marTop w:val="0"/>
          <w:marBottom w:val="0"/>
          <w:divBdr>
            <w:top w:val="none" w:sz="0" w:space="0" w:color="auto"/>
            <w:left w:val="none" w:sz="0" w:space="0" w:color="auto"/>
            <w:bottom w:val="none" w:sz="0" w:space="0" w:color="auto"/>
            <w:right w:val="none" w:sz="0" w:space="0" w:color="auto"/>
          </w:divBdr>
        </w:div>
        <w:div w:id="700204670">
          <w:marLeft w:val="0"/>
          <w:marRight w:val="0"/>
          <w:marTop w:val="0"/>
          <w:marBottom w:val="0"/>
          <w:divBdr>
            <w:top w:val="none" w:sz="0" w:space="0" w:color="auto"/>
            <w:left w:val="none" w:sz="0" w:space="0" w:color="auto"/>
            <w:bottom w:val="none" w:sz="0" w:space="0" w:color="auto"/>
            <w:right w:val="none" w:sz="0" w:space="0" w:color="auto"/>
          </w:divBdr>
        </w:div>
        <w:div w:id="1961061553">
          <w:marLeft w:val="0"/>
          <w:marRight w:val="0"/>
          <w:marTop w:val="0"/>
          <w:marBottom w:val="0"/>
          <w:divBdr>
            <w:top w:val="none" w:sz="0" w:space="0" w:color="auto"/>
            <w:left w:val="none" w:sz="0" w:space="0" w:color="auto"/>
            <w:bottom w:val="none" w:sz="0" w:space="0" w:color="auto"/>
            <w:right w:val="none" w:sz="0" w:space="0" w:color="auto"/>
          </w:divBdr>
        </w:div>
        <w:div w:id="1708602538">
          <w:marLeft w:val="0"/>
          <w:marRight w:val="0"/>
          <w:marTop w:val="0"/>
          <w:marBottom w:val="0"/>
          <w:divBdr>
            <w:top w:val="none" w:sz="0" w:space="0" w:color="auto"/>
            <w:left w:val="none" w:sz="0" w:space="0" w:color="auto"/>
            <w:bottom w:val="none" w:sz="0" w:space="0" w:color="auto"/>
            <w:right w:val="none" w:sz="0" w:space="0" w:color="auto"/>
          </w:divBdr>
        </w:div>
        <w:div w:id="2086535673">
          <w:marLeft w:val="0"/>
          <w:marRight w:val="0"/>
          <w:marTop w:val="0"/>
          <w:marBottom w:val="0"/>
          <w:divBdr>
            <w:top w:val="none" w:sz="0" w:space="0" w:color="auto"/>
            <w:left w:val="none" w:sz="0" w:space="0" w:color="auto"/>
            <w:bottom w:val="none" w:sz="0" w:space="0" w:color="auto"/>
            <w:right w:val="none" w:sz="0" w:space="0" w:color="auto"/>
          </w:divBdr>
        </w:div>
      </w:divsChild>
    </w:div>
    <w:div w:id="1692993428">
      <w:bodyDiv w:val="1"/>
      <w:marLeft w:val="0"/>
      <w:marRight w:val="0"/>
      <w:marTop w:val="0"/>
      <w:marBottom w:val="0"/>
      <w:divBdr>
        <w:top w:val="none" w:sz="0" w:space="0" w:color="auto"/>
        <w:left w:val="none" w:sz="0" w:space="0" w:color="auto"/>
        <w:bottom w:val="none" w:sz="0" w:space="0" w:color="auto"/>
        <w:right w:val="none" w:sz="0" w:space="0" w:color="auto"/>
      </w:divBdr>
      <w:divsChild>
        <w:div w:id="809513834">
          <w:marLeft w:val="0"/>
          <w:marRight w:val="0"/>
          <w:marTop w:val="0"/>
          <w:marBottom w:val="0"/>
          <w:divBdr>
            <w:top w:val="none" w:sz="0" w:space="0" w:color="auto"/>
            <w:left w:val="none" w:sz="0" w:space="0" w:color="auto"/>
            <w:bottom w:val="none" w:sz="0" w:space="0" w:color="auto"/>
            <w:right w:val="none" w:sz="0" w:space="0" w:color="auto"/>
          </w:divBdr>
        </w:div>
        <w:div w:id="304701101">
          <w:marLeft w:val="0"/>
          <w:marRight w:val="0"/>
          <w:marTop w:val="0"/>
          <w:marBottom w:val="0"/>
          <w:divBdr>
            <w:top w:val="none" w:sz="0" w:space="0" w:color="auto"/>
            <w:left w:val="none" w:sz="0" w:space="0" w:color="auto"/>
            <w:bottom w:val="none" w:sz="0" w:space="0" w:color="auto"/>
            <w:right w:val="none" w:sz="0" w:space="0" w:color="auto"/>
          </w:divBdr>
        </w:div>
        <w:div w:id="779373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ertyvictoria.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libertyvictoria.org.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mh.com.au/national/ipsos-global-poll-two-in-three-australians-think-religion-does-more-harm-than-good-in-the-world-20171012-gyz7ii.html" TargetMode="External"/><Relationship Id="rId1" Type="http://schemas.openxmlformats.org/officeDocument/2006/relationships/hyperlink" Target="https://www.theguardian.com/world/2019/sep/30/religious-discrimination-bill-may-breach-constitution-by-allowing-doctors-to-refuse-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Gardiner</dc:creator>
  <cp:keywords/>
  <dc:description/>
  <cp:lastModifiedBy>Owner</cp:lastModifiedBy>
  <cp:revision>2</cp:revision>
  <cp:lastPrinted>2019-10-02T04:01:00Z</cp:lastPrinted>
  <dcterms:created xsi:type="dcterms:W3CDTF">2020-02-13T01:25:00Z</dcterms:created>
  <dcterms:modified xsi:type="dcterms:W3CDTF">2020-02-13T01:25:00Z</dcterms:modified>
</cp:coreProperties>
</file>