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9"/>
        <w:tblW w:w="9072" w:type="dxa"/>
        <w:tblLayout w:type="fixed"/>
        <w:tblCellMar>
          <w:top w:w="55" w:type="dxa"/>
          <w:left w:w="55" w:type="dxa"/>
          <w:bottom w:w="55" w:type="dxa"/>
          <w:right w:w="55" w:type="dxa"/>
        </w:tblCellMar>
        <w:tblLook w:val="0000" w:firstRow="0" w:lastRow="0" w:firstColumn="0" w:lastColumn="0" w:noHBand="0" w:noVBand="0"/>
      </w:tblPr>
      <w:tblGrid>
        <w:gridCol w:w="3481"/>
        <w:gridCol w:w="5591"/>
      </w:tblGrid>
      <w:tr w:rsidR="000E1762" w:rsidRPr="00A50B00" w14:paraId="786B701A" w14:textId="77777777" w:rsidTr="00E526F6">
        <w:trPr>
          <w:trHeight w:val="4215"/>
        </w:trPr>
        <w:tc>
          <w:tcPr>
            <w:tcW w:w="3481" w:type="dxa"/>
            <w:shd w:val="clear" w:color="auto" w:fill="auto"/>
          </w:tcPr>
          <w:p w14:paraId="1C07D1D7" w14:textId="61BD5618" w:rsidR="000E1762" w:rsidRPr="00B4658A" w:rsidRDefault="00E526F6" w:rsidP="00E526F6">
            <w:pPr>
              <w:widowControl w:val="0"/>
              <w:suppressLineNumbers/>
              <w:suppressAutoHyphens/>
              <w:spacing w:line="100" w:lineRule="atLeast"/>
              <w:rPr>
                <w:rFonts w:ascii="Times New Roman" w:hAnsi="Times New Roman"/>
                <w:sz w:val="20"/>
                <w:szCs w:val="20"/>
                <w:lang w:val="en-GB" w:eastAsia="en-GB"/>
              </w:rPr>
            </w:pPr>
            <w:r w:rsidRPr="00B4658A">
              <w:rPr>
                <w:rFonts w:ascii="Times New Roman" w:hAnsi="Times New Roman"/>
                <w:noProof/>
                <w:lang w:val="en-US"/>
              </w:rPr>
              <w:drawing>
                <wp:anchor distT="0" distB="0" distL="114300" distR="114300" simplePos="0" relativeHeight="251663360" behindDoc="0" locked="0" layoutInCell="1" allowOverlap="1" wp14:anchorId="4DAED783" wp14:editId="48E7C874">
                  <wp:simplePos x="0" y="0"/>
                  <wp:positionH relativeFrom="column">
                    <wp:posOffset>17780</wp:posOffset>
                  </wp:positionH>
                  <wp:positionV relativeFrom="paragraph">
                    <wp:posOffset>437515</wp:posOffset>
                  </wp:positionV>
                  <wp:extent cx="1579880" cy="953770"/>
                  <wp:effectExtent l="0" t="0" r="1270" b="0"/>
                  <wp:wrapTopAndBottom/>
                  <wp:docPr id="1" name="Picture 1" descr="C:\Users\MICK\AppData\Local\Microsoft\Windows\INetCache\Content.Word\LV-logo-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AppData\Local\Microsoft\Windows\INetCache\Content.Word\LV-logo-1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91" w:type="dxa"/>
            <w:shd w:val="clear" w:color="auto" w:fill="auto"/>
          </w:tcPr>
          <w:p w14:paraId="7309E398"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bookmarkStart w:id="0" w:name="_GoBack"/>
            <w:bookmarkEnd w:id="0"/>
            <w:r w:rsidRPr="00A50B00">
              <w:rPr>
                <w:rFonts w:eastAsia="Helvetica-Bold" w:cs="Arial"/>
                <w:color w:val="000000"/>
                <w:sz w:val="16"/>
                <w:szCs w:val="16"/>
                <w:lang w:val="en-GB" w:eastAsia="en-GB"/>
              </w:rPr>
              <w:t>Victorian Council for Civil Liberties Inc</w:t>
            </w:r>
          </w:p>
          <w:p w14:paraId="5D6D2ACA"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Reg No: A0026497L</w:t>
            </w:r>
          </w:p>
          <w:p w14:paraId="1344287A" w14:textId="20C7A2FA" w:rsidR="000E1762" w:rsidRPr="00A50B00" w:rsidRDefault="000E1762" w:rsidP="0069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BE1F04"/>
                <w:sz w:val="16"/>
                <w:szCs w:val="16"/>
                <w:lang w:val="en-GB" w:eastAsia="en-GB"/>
              </w:rPr>
            </w:pPr>
            <w:r w:rsidRPr="00A50B00">
              <w:rPr>
                <w:rFonts w:eastAsia="Helvetica-Bold" w:cs="Arial"/>
                <w:color w:val="000000"/>
                <w:sz w:val="16"/>
                <w:szCs w:val="16"/>
                <w:lang w:val="en-GB" w:eastAsia="en-GB"/>
              </w:rPr>
              <w:t>GPO Box 3161</w:t>
            </w:r>
            <w:r w:rsidR="00FF71BE" w:rsidRPr="00A50B00">
              <w:rPr>
                <w:rFonts w:eastAsia="Helvetica-Bold" w:cs="Arial"/>
                <w:color w:val="000000"/>
                <w:sz w:val="16"/>
                <w:szCs w:val="16"/>
                <w:lang w:val="en-GB" w:eastAsia="en-GB"/>
              </w:rPr>
              <w:br/>
            </w:r>
            <w:r w:rsidRPr="00A50B00">
              <w:rPr>
                <w:rFonts w:eastAsia="Helvetica-Bold" w:cs="Arial"/>
                <w:color w:val="000000"/>
                <w:sz w:val="16"/>
                <w:szCs w:val="16"/>
                <w:lang w:val="en-GB" w:eastAsia="en-GB"/>
              </w:rPr>
              <w:t>Melbourne, VIC 3001</w:t>
            </w:r>
          </w:p>
          <w:p w14:paraId="38D19E65" w14:textId="77777777" w:rsidR="000E1762" w:rsidRPr="00A50B00" w:rsidRDefault="000E1762" w:rsidP="0069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sz w:val="16"/>
                <w:szCs w:val="16"/>
                <w:lang w:val="en-GB" w:eastAsia="en-GB"/>
              </w:rPr>
            </w:pPr>
            <w:r w:rsidRPr="00A50B00">
              <w:rPr>
                <w:rFonts w:eastAsia="Helvetica-Bold" w:cs="Arial"/>
                <w:sz w:val="16"/>
                <w:szCs w:val="16"/>
                <w:lang w:val="en-GB" w:eastAsia="en-GB"/>
              </w:rPr>
              <w:t>t 03 9670 6422</w:t>
            </w:r>
          </w:p>
          <w:p w14:paraId="5CB66CDE" w14:textId="77777777" w:rsidR="000E1762" w:rsidRPr="00A50B00" w:rsidRDefault="000E1762" w:rsidP="00967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TrebuchetMS" w:cs="Arial"/>
                <w:color w:val="000000"/>
                <w:sz w:val="16"/>
                <w:szCs w:val="16"/>
                <w:lang w:val="en-GB" w:eastAsia="en-GB"/>
              </w:rPr>
            </w:pPr>
            <w:r w:rsidRPr="00A50B00">
              <w:rPr>
                <w:rFonts w:eastAsia="Helvetica-Bold" w:cs="Arial"/>
                <w:color w:val="000000"/>
                <w:sz w:val="16"/>
                <w:szCs w:val="16"/>
                <w:lang w:val="en-GB" w:eastAsia="en-GB"/>
              </w:rPr>
              <w:t>info@libertyvictoria.org.au</w:t>
            </w:r>
          </w:p>
          <w:p w14:paraId="65336691"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PRESIDENT</w:t>
            </w:r>
          </w:p>
          <w:p w14:paraId="7FF2A43C"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Jessie E Taylor</w:t>
            </w:r>
          </w:p>
          <w:p w14:paraId="2A211E14"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SENIOR VICE-PRESIDENT</w:t>
            </w:r>
          </w:p>
          <w:p w14:paraId="538B9CB6"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 xml:space="preserve"> Michael Stanton</w:t>
            </w:r>
          </w:p>
          <w:p w14:paraId="7E89AC41"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VICE-PRESIDENTS</w:t>
            </w:r>
          </w:p>
          <w:p w14:paraId="02A24210"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Jamie Gardiner</w:t>
            </w:r>
          </w:p>
          <w:p w14:paraId="25CD0A73"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Thomas Kane</w:t>
            </w:r>
          </w:p>
          <w:p w14:paraId="6CD79BE1"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TrebuchetMS" w:cs="Arial"/>
                <w:color w:val="000000"/>
                <w:sz w:val="16"/>
                <w:szCs w:val="16"/>
                <w:lang w:val="en-GB" w:eastAsia="en-GB"/>
              </w:rPr>
            </w:pPr>
            <w:r w:rsidRPr="00A50B00">
              <w:rPr>
                <w:rFonts w:eastAsia="Helvetica-Bold" w:cs="Arial"/>
                <w:color w:val="000000"/>
                <w:sz w:val="16"/>
                <w:szCs w:val="16"/>
                <w:lang w:val="en-GB" w:eastAsia="en-GB"/>
              </w:rPr>
              <w:t>IMMEDIATE PAST PRESIDENT</w:t>
            </w:r>
          </w:p>
          <w:p w14:paraId="2683EC6B"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100" w:lineRule="atLeast"/>
              <w:jc w:val="right"/>
              <w:rPr>
                <w:rFonts w:eastAsia="Helvetica-Bold" w:cs="Arial"/>
                <w:color w:val="000000"/>
                <w:sz w:val="16"/>
                <w:szCs w:val="16"/>
                <w:lang w:val="en-GB" w:eastAsia="en-GB"/>
              </w:rPr>
            </w:pPr>
            <w:r w:rsidRPr="00A50B00">
              <w:rPr>
                <w:rFonts w:eastAsia="TrebuchetMS" w:cs="Arial"/>
                <w:color w:val="000000"/>
                <w:sz w:val="16"/>
                <w:szCs w:val="16"/>
                <w:lang w:val="en-GB" w:eastAsia="en-GB"/>
              </w:rPr>
              <w:t>George Georgiou SC</w:t>
            </w:r>
          </w:p>
          <w:p w14:paraId="72115FAB" w14:textId="77777777" w:rsidR="000E1762" w:rsidRPr="00A50B00" w:rsidRDefault="000E1762" w:rsidP="00E52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PATRON</w:t>
            </w:r>
          </w:p>
          <w:p w14:paraId="1F90286C" w14:textId="182E5F08" w:rsidR="00A50B00" w:rsidRPr="007024AC" w:rsidRDefault="000E1762" w:rsidP="007024AC">
            <w:pPr>
              <w:widowControl w:val="0"/>
              <w:suppressAutoHyphens/>
              <w:autoSpaceDE w:val="0"/>
              <w:spacing w:after="120" w:line="100" w:lineRule="atLeast"/>
              <w:jc w:val="right"/>
              <w:rPr>
                <w:rFonts w:eastAsia="Helvetica-Bold" w:cs="Arial"/>
                <w:color w:val="000000"/>
                <w:sz w:val="16"/>
                <w:szCs w:val="16"/>
                <w:lang w:val="en-GB" w:eastAsia="en-GB"/>
              </w:rPr>
            </w:pPr>
            <w:r w:rsidRPr="00A50B00">
              <w:rPr>
                <w:rFonts w:eastAsia="Helvetica-Bold" w:cs="Arial"/>
                <w:color w:val="000000"/>
                <w:sz w:val="16"/>
                <w:szCs w:val="16"/>
                <w:lang w:val="en-GB" w:eastAsia="en-GB"/>
              </w:rPr>
              <w:t>The Hon. Michael Kirby AC CMG</w:t>
            </w:r>
          </w:p>
        </w:tc>
      </w:tr>
      <w:tr w:rsidR="000E1762" w:rsidRPr="00A50B00" w14:paraId="0522CF80" w14:textId="77777777" w:rsidTr="00E526F6">
        <w:trPr>
          <w:trHeight w:val="192"/>
        </w:trPr>
        <w:tc>
          <w:tcPr>
            <w:tcW w:w="3481" w:type="dxa"/>
            <w:shd w:val="clear" w:color="auto" w:fill="auto"/>
          </w:tcPr>
          <w:p w14:paraId="4CB8907A" w14:textId="4CC772B3" w:rsidR="000E1762" w:rsidRPr="00A50B00" w:rsidRDefault="000E1762" w:rsidP="0057258F">
            <w:pPr>
              <w:widowControl w:val="0"/>
              <w:suppressLineNumbers/>
              <w:suppressAutoHyphens/>
              <w:spacing w:line="100" w:lineRule="atLeast"/>
              <w:rPr>
                <w:rFonts w:cs="Arial"/>
                <w:sz w:val="20"/>
                <w:szCs w:val="20"/>
                <w:lang w:val="en-GB" w:eastAsia="en-GB"/>
              </w:rPr>
            </w:pPr>
          </w:p>
        </w:tc>
        <w:tc>
          <w:tcPr>
            <w:tcW w:w="5591" w:type="dxa"/>
            <w:shd w:val="clear" w:color="auto" w:fill="auto"/>
          </w:tcPr>
          <w:p w14:paraId="5F8B7C0C" w14:textId="77777777" w:rsidR="000E1762" w:rsidRPr="00A50B00" w:rsidRDefault="000E1762" w:rsidP="00E526F6">
            <w:pPr>
              <w:widowControl w:val="0"/>
              <w:suppressLineNumbers/>
              <w:suppressAutoHyphens/>
              <w:spacing w:line="100" w:lineRule="atLeast"/>
              <w:rPr>
                <w:rFonts w:cs="Arial"/>
                <w:sz w:val="24"/>
                <w:lang w:val="en-GB" w:eastAsia="en-GB"/>
              </w:rPr>
            </w:pPr>
          </w:p>
        </w:tc>
      </w:tr>
    </w:tbl>
    <w:p w14:paraId="0668822C" w14:textId="2D9D7146" w:rsidR="00433435" w:rsidRPr="00433435" w:rsidRDefault="00433435" w:rsidP="0057258F">
      <w:pPr>
        <w:pStyle w:val="VLALetterText"/>
        <w:spacing w:after="480" w:line="240" w:lineRule="auto"/>
        <w:rPr>
          <w:rFonts w:cs="Arial"/>
          <w:szCs w:val="22"/>
          <w:lang w:eastAsia="en-AU"/>
        </w:rPr>
      </w:pPr>
      <w:r>
        <w:rPr>
          <w:rFonts w:cs="Arial"/>
          <w:szCs w:val="22"/>
          <w:lang w:eastAsia="en-AU"/>
        </w:rPr>
        <w:t>24 September 2019</w:t>
      </w:r>
    </w:p>
    <w:p w14:paraId="460B26CA" w14:textId="31FD031A" w:rsidR="00433435" w:rsidRDefault="00433435" w:rsidP="00433435">
      <w:pPr>
        <w:pStyle w:val="VLALetterText"/>
        <w:spacing w:line="240" w:lineRule="auto"/>
        <w:rPr>
          <w:rFonts w:cs="Arial"/>
          <w:szCs w:val="22"/>
          <w:lang w:eastAsia="en-AU"/>
        </w:rPr>
      </w:pPr>
      <w:r w:rsidRPr="00433435">
        <w:rPr>
          <w:rFonts w:cs="Arial"/>
          <w:szCs w:val="22"/>
          <w:lang w:eastAsia="en-AU"/>
        </w:rPr>
        <w:t>Royal Commissioner</w:t>
      </w:r>
      <w:r>
        <w:rPr>
          <w:rFonts w:cs="Arial"/>
          <w:szCs w:val="22"/>
          <w:lang w:eastAsia="en-AU"/>
        </w:rPr>
        <w:t>s</w:t>
      </w:r>
      <w:r w:rsidRPr="00433435">
        <w:rPr>
          <w:rFonts w:cs="Arial"/>
          <w:szCs w:val="22"/>
          <w:lang w:eastAsia="en-AU"/>
        </w:rPr>
        <w:t xml:space="preserve"> The Honourable Richard Tracey AM RFD QC</w:t>
      </w:r>
      <w:r>
        <w:rPr>
          <w:rFonts w:cs="Arial"/>
          <w:szCs w:val="22"/>
          <w:lang w:eastAsia="en-AU"/>
        </w:rPr>
        <w:t>, T</w:t>
      </w:r>
      <w:r w:rsidRPr="00433435">
        <w:rPr>
          <w:rFonts w:cs="Arial"/>
          <w:szCs w:val="22"/>
          <w:lang w:eastAsia="en-AU"/>
        </w:rPr>
        <w:t xml:space="preserve">he Honourable Tony </w:t>
      </w:r>
      <w:proofErr w:type="spellStart"/>
      <w:r w:rsidRPr="00433435">
        <w:rPr>
          <w:rFonts w:cs="Arial"/>
          <w:szCs w:val="22"/>
          <w:lang w:eastAsia="en-AU"/>
        </w:rPr>
        <w:t>Pagone</w:t>
      </w:r>
      <w:proofErr w:type="spellEnd"/>
      <w:r w:rsidRPr="00433435">
        <w:rPr>
          <w:rFonts w:cs="Arial"/>
          <w:szCs w:val="22"/>
          <w:lang w:eastAsia="en-AU"/>
        </w:rPr>
        <w:t xml:space="preserve"> QC</w:t>
      </w:r>
      <w:r>
        <w:rPr>
          <w:rFonts w:cs="Arial"/>
          <w:szCs w:val="22"/>
          <w:lang w:eastAsia="en-AU"/>
        </w:rPr>
        <w:t xml:space="preserve"> and </w:t>
      </w:r>
      <w:r w:rsidRPr="00433435">
        <w:rPr>
          <w:rFonts w:cs="Arial"/>
          <w:szCs w:val="22"/>
          <w:lang w:eastAsia="en-AU"/>
        </w:rPr>
        <w:t xml:space="preserve">Ms Lynelle Briggs AO </w:t>
      </w:r>
      <w:r>
        <w:rPr>
          <w:rFonts w:cs="Arial"/>
          <w:szCs w:val="22"/>
          <w:lang w:eastAsia="en-AU"/>
        </w:rPr>
        <w:br/>
      </w:r>
      <w:r w:rsidRPr="00433435">
        <w:rPr>
          <w:rFonts w:cs="Arial"/>
          <w:szCs w:val="22"/>
          <w:lang w:eastAsia="en-AU"/>
        </w:rPr>
        <w:t xml:space="preserve">The Royal Commission into Aged Care Quality and Safety </w:t>
      </w:r>
      <w:r>
        <w:rPr>
          <w:rFonts w:cs="Arial"/>
          <w:szCs w:val="22"/>
          <w:lang w:eastAsia="en-AU"/>
        </w:rPr>
        <w:br/>
      </w:r>
      <w:r w:rsidRPr="00433435">
        <w:rPr>
          <w:rFonts w:cs="Arial"/>
          <w:szCs w:val="22"/>
          <w:lang w:eastAsia="en-AU"/>
        </w:rPr>
        <w:t xml:space="preserve">GPO Box 1151 </w:t>
      </w:r>
      <w:r>
        <w:rPr>
          <w:rFonts w:cs="Arial"/>
          <w:szCs w:val="22"/>
          <w:lang w:eastAsia="en-AU"/>
        </w:rPr>
        <w:br/>
      </w:r>
      <w:proofErr w:type="gramStart"/>
      <w:r w:rsidRPr="00433435">
        <w:rPr>
          <w:rFonts w:cs="Arial"/>
          <w:szCs w:val="22"/>
          <w:lang w:eastAsia="en-AU"/>
        </w:rPr>
        <w:t>ADELAIDE  SA</w:t>
      </w:r>
      <w:proofErr w:type="gramEnd"/>
      <w:r w:rsidRPr="00433435">
        <w:rPr>
          <w:rFonts w:cs="Arial"/>
          <w:szCs w:val="22"/>
          <w:lang w:eastAsia="en-AU"/>
        </w:rPr>
        <w:t xml:space="preserve"> 5001</w:t>
      </w:r>
    </w:p>
    <w:p w14:paraId="40E4E337" w14:textId="58753CCF" w:rsidR="00696644" w:rsidRPr="00283AAD" w:rsidRDefault="00797C46" w:rsidP="007024AC">
      <w:pPr>
        <w:pStyle w:val="VLALetterText"/>
        <w:spacing w:after="480" w:line="240" w:lineRule="auto"/>
        <w:rPr>
          <w:rFonts w:cs="Arial"/>
          <w:szCs w:val="22"/>
          <w:lang w:eastAsia="en-AU"/>
        </w:rPr>
      </w:pPr>
      <w:r w:rsidRPr="00283AAD">
        <w:rPr>
          <w:rFonts w:cs="Arial"/>
          <w:szCs w:val="22"/>
          <w:lang w:eastAsia="en-AU"/>
        </w:rPr>
        <w:t>E</w:t>
      </w:r>
      <w:r w:rsidR="004F34FC" w:rsidRPr="00283AAD">
        <w:rPr>
          <w:rFonts w:cs="Arial"/>
          <w:szCs w:val="22"/>
          <w:lang w:eastAsia="en-AU"/>
        </w:rPr>
        <w:t xml:space="preserve">mail: </w:t>
      </w:r>
      <w:hyperlink r:id="rId9" w:history="1">
        <w:r w:rsidR="00433435">
          <w:rPr>
            <w:rStyle w:val="Hyperlink"/>
            <w:rFonts w:cs="Arial"/>
            <w:szCs w:val="22"/>
            <w:lang w:eastAsia="en-AU"/>
          </w:rPr>
          <w:t>ACRCenquiries@royalcommission.gov.au</w:t>
        </w:r>
      </w:hyperlink>
      <w:r w:rsidR="004F34FC" w:rsidRPr="00283AAD">
        <w:rPr>
          <w:rFonts w:cs="Arial"/>
          <w:szCs w:val="22"/>
          <w:lang w:eastAsia="en-AU"/>
        </w:rPr>
        <w:t xml:space="preserve"> </w:t>
      </w:r>
    </w:p>
    <w:p w14:paraId="78FD51CF" w14:textId="541AD63A" w:rsidR="00F06D6A" w:rsidRPr="00F06D6A" w:rsidRDefault="00F06D6A" w:rsidP="0057258F">
      <w:pPr>
        <w:spacing w:before="480" w:after="240"/>
        <w:jc w:val="both"/>
        <w:rPr>
          <w:rFonts w:cs="Arial"/>
          <w:bCs/>
          <w:iCs/>
          <w:szCs w:val="22"/>
        </w:rPr>
      </w:pPr>
      <w:bookmarkStart w:id="1" w:name="Subject"/>
      <w:bookmarkEnd w:id="1"/>
      <w:r w:rsidRPr="00F06D6A">
        <w:rPr>
          <w:rFonts w:cs="Arial"/>
          <w:bCs/>
          <w:iCs/>
          <w:szCs w:val="22"/>
        </w:rPr>
        <w:t xml:space="preserve">Dear Commissioners, </w:t>
      </w:r>
    </w:p>
    <w:p w14:paraId="225ECB6B" w14:textId="08928B79" w:rsidR="004F34FC" w:rsidRPr="00283AAD" w:rsidRDefault="00AF3DE2" w:rsidP="0057258F">
      <w:pPr>
        <w:spacing w:before="480" w:after="240"/>
        <w:jc w:val="both"/>
        <w:rPr>
          <w:rFonts w:cs="Arial"/>
          <w:b/>
          <w:i/>
          <w:szCs w:val="22"/>
        </w:rPr>
      </w:pPr>
      <w:r w:rsidRPr="00283AAD">
        <w:rPr>
          <w:rFonts w:cs="Arial"/>
          <w:b/>
          <w:i/>
          <w:szCs w:val="22"/>
        </w:rPr>
        <w:t xml:space="preserve">Submission to </w:t>
      </w:r>
      <w:r w:rsidR="00433435">
        <w:rPr>
          <w:rFonts w:cs="Arial"/>
          <w:b/>
          <w:i/>
          <w:szCs w:val="22"/>
        </w:rPr>
        <w:t>t</w:t>
      </w:r>
      <w:r w:rsidR="00433435" w:rsidRPr="00433435">
        <w:rPr>
          <w:rFonts w:cs="Arial"/>
          <w:b/>
          <w:i/>
          <w:szCs w:val="22"/>
        </w:rPr>
        <w:t>he Royal Commission into Aged Care Quality and Safety</w:t>
      </w:r>
    </w:p>
    <w:p w14:paraId="1F10DE6B" w14:textId="0E5307CC" w:rsidR="00AF3DE2" w:rsidRPr="00283AAD" w:rsidRDefault="00AF3DE2" w:rsidP="007024AC">
      <w:pPr>
        <w:spacing w:before="360" w:after="240" w:line="269" w:lineRule="auto"/>
        <w:rPr>
          <w:rFonts w:cs="Arial"/>
          <w:b/>
          <w:szCs w:val="22"/>
        </w:rPr>
      </w:pPr>
      <w:r w:rsidRPr="00283AAD">
        <w:rPr>
          <w:rFonts w:cs="Arial"/>
          <w:b/>
          <w:szCs w:val="22"/>
        </w:rPr>
        <w:t xml:space="preserve">Liberty Victoria  </w:t>
      </w:r>
    </w:p>
    <w:p w14:paraId="65317DFE" w14:textId="36EBA12A" w:rsidR="00AF3DE2" w:rsidRPr="000440EC" w:rsidRDefault="00AF3DE2" w:rsidP="00B73B87">
      <w:pPr>
        <w:pStyle w:val="ListParagraph"/>
      </w:pPr>
      <w:r w:rsidRPr="000440EC">
        <w:t>Liberty Victoria is a peak civil liberties organisation in Australia that has worked to defend and extend human rights and freedoms in Victoria since 1936. For more than eighty years we have advocated for civil liberties and human rights. These are spelled out in the United Nations international human rights treaties, agreed to by Australia. We speak out when such rights and freedoms are threatened by governments or other organisations.</w:t>
      </w:r>
    </w:p>
    <w:p w14:paraId="36BB7249" w14:textId="6EA4E87E" w:rsidR="00AF3DE2" w:rsidRPr="000440EC" w:rsidRDefault="00AF3DE2" w:rsidP="00046761">
      <w:pPr>
        <w:pStyle w:val="ListParagraph"/>
      </w:pPr>
      <w:r w:rsidRPr="000440EC">
        <w:t xml:space="preserve">We welcome the opportunity to provide a submission to </w:t>
      </w:r>
      <w:r w:rsidR="00433435">
        <w:t>t</w:t>
      </w:r>
      <w:r w:rsidR="00433435" w:rsidRPr="00433435">
        <w:t>he Royal Commission into Aged Care Quality and Safety</w:t>
      </w:r>
      <w:r w:rsidR="00084D45">
        <w:t xml:space="preserve"> (</w:t>
      </w:r>
      <w:r w:rsidR="00084D45" w:rsidRPr="00084D45">
        <w:rPr>
          <w:b/>
        </w:rPr>
        <w:t>the Royal Commission</w:t>
      </w:r>
      <w:r w:rsidR="00084D45">
        <w:t>)</w:t>
      </w:r>
      <w:r w:rsidRPr="000440EC">
        <w:t>. The focus of our submissions and recommendations reflect our experience and expertise as outlined above.</w:t>
      </w:r>
    </w:p>
    <w:p w14:paraId="691418A8" w14:textId="1B5240D1" w:rsidR="00584FDD" w:rsidRPr="00283AAD" w:rsidRDefault="00AF3DE2" w:rsidP="007024AC">
      <w:pPr>
        <w:spacing w:before="360" w:after="240" w:line="269" w:lineRule="auto"/>
        <w:rPr>
          <w:rFonts w:cs="Arial"/>
          <w:b/>
          <w:szCs w:val="22"/>
        </w:rPr>
      </w:pPr>
      <w:r w:rsidRPr="00283AAD">
        <w:rPr>
          <w:rFonts w:cs="Arial"/>
          <w:b/>
          <w:szCs w:val="22"/>
        </w:rPr>
        <w:t>Outline</w:t>
      </w:r>
    </w:p>
    <w:p w14:paraId="5DB6C79B" w14:textId="56C8A577" w:rsidR="00084D45" w:rsidRDefault="00084D45" w:rsidP="00046761">
      <w:pPr>
        <w:pStyle w:val="ListParagraph"/>
      </w:pPr>
      <w:r>
        <w:t xml:space="preserve">Our submissions are directed at the first item referred to in the Royal Commission’s terms of reference, being: </w:t>
      </w:r>
    </w:p>
    <w:p w14:paraId="53CDDEFD" w14:textId="1C8816DF" w:rsidR="00084D45" w:rsidRPr="003100DB" w:rsidRDefault="00084D45" w:rsidP="00546780">
      <w:pPr>
        <w:ind w:left="720"/>
        <w:rPr>
          <w:i/>
        </w:rPr>
      </w:pPr>
      <w:r w:rsidRPr="003100DB">
        <w:rPr>
          <w:i/>
        </w:rPr>
        <w:t xml:space="preserve">the quality of aged care services provided to Australians, the extent to which those services meet the needs of the people accessing them, the extent of substandard </w:t>
      </w:r>
      <w:r w:rsidRPr="003100DB">
        <w:rPr>
          <w:i/>
        </w:rPr>
        <w:lastRenderedPageBreak/>
        <w:t>care being provided, including mistreatment and all forms of abuse, the causes of any systemic failures, and any actions that should be taken in response</w:t>
      </w:r>
    </w:p>
    <w:p w14:paraId="0F7B8BC1" w14:textId="514B5756" w:rsidR="00B73B87" w:rsidRDefault="00584FDD" w:rsidP="00B73B87">
      <w:pPr>
        <w:pStyle w:val="ListParagraph"/>
      </w:pPr>
      <w:r w:rsidRPr="000440EC">
        <w:t xml:space="preserve">Our principal concerns </w:t>
      </w:r>
      <w:r w:rsidR="00546780">
        <w:t xml:space="preserve">that we wish to raise </w:t>
      </w:r>
      <w:r w:rsidR="00084D45">
        <w:t>include as follows:</w:t>
      </w:r>
    </w:p>
    <w:p w14:paraId="79EADFB1" w14:textId="128C2EAD" w:rsidR="00B73B87" w:rsidRDefault="00616BE2" w:rsidP="00B73B87">
      <w:pPr>
        <w:pStyle w:val="ListParagraph"/>
        <w:numPr>
          <w:ilvl w:val="1"/>
          <w:numId w:val="9"/>
        </w:numPr>
      </w:pPr>
      <w:r>
        <w:t xml:space="preserve">Liberty Victoria is profoundly concerned that some aged care </w:t>
      </w:r>
      <w:r w:rsidR="003100DB">
        <w:t>provider</w:t>
      </w:r>
      <w:r>
        <w:t xml:space="preserve">s </w:t>
      </w:r>
      <w:r w:rsidR="00546780">
        <w:t xml:space="preserve">may </w:t>
      </w:r>
      <w:r>
        <w:t>conflate the notion of medical incapacity with legal capacity and this denies many vulnerable residents their right to participate in, and determine, his or her own legal affairs. In some circumstances this denial can also have significant consequences</w:t>
      </w:r>
      <w:r w:rsidR="00B73B87">
        <w:t xml:space="preserve"> for the </w:t>
      </w:r>
      <w:r w:rsidR="00546780">
        <w:t xml:space="preserve">individual’s </w:t>
      </w:r>
      <w:r w:rsidR="00B73B87">
        <w:t>wellbeing</w:t>
      </w:r>
      <w:r>
        <w:t>.</w:t>
      </w:r>
    </w:p>
    <w:p w14:paraId="5670A223" w14:textId="53F21F8F" w:rsidR="00505D21" w:rsidRDefault="00084D45" w:rsidP="00B73B87">
      <w:pPr>
        <w:pStyle w:val="ListParagraph"/>
        <w:numPr>
          <w:ilvl w:val="1"/>
          <w:numId w:val="9"/>
        </w:numPr>
      </w:pPr>
      <w:r>
        <w:t xml:space="preserve">Liberty Victoria is </w:t>
      </w:r>
      <w:r w:rsidR="00616BE2">
        <w:t xml:space="preserve">also </w:t>
      </w:r>
      <w:r>
        <w:t xml:space="preserve">profoundly concerned that </w:t>
      </w:r>
      <w:r w:rsidR="00616BE2">
        <w:t xml:space="preserve">some </w:t>
      </w:r>
      <w:r>
        <w:t xml:space="preserve">aged care </w:t>
      </w:r>
      <w:r w:rsidR="003100DB">
        <w:t>providers</w:t>
      </w:r>
      <w:r w:rsidR="00616BE2">
        <w:t xml:space="preserve"> routinely </w:t>
      </w:r>
      <w:r>
        <w:t xml:space="preserve">deny residents </w:t>
      </w:r>
      <w:r w:rsidR="00616BE2">
        <w:t xml:space="preserve">from linguistically diverse backgrounds </w:t>
      </w:r>
      <w:r>
        <w:t xml:space="preserve">the use of appropriate </w:t>
      </w:r>
      <w:r w:rsidR="00616BE2">
        <w:t xml:space="preserve">translation and interpreting services. This greatly inhibits the ability of those individuals to accessing </w:t>
      </w:r>
      <w:r w:rsidR="00546780">
        <w:t xml:space="preserve">urgent and </w:t>
      </w:r>
      <w:r w:rsidR="00616BE2">
        <w:t>critical basic services, a</w:t>
      </w:r>
      <w:r w:rsidR="00546780">
        <w:t>s well as</w:t>
      </w:r>
      <w:r w:rsidR="00616BE2">
        <w:t xml:space="preserve"> enjoy day-to-day life with dignity.</w:t>
      </w:r>
    </w:p>
    <w:p w14:paraId="01FACDB3" w14:textId="6A9B618B" w:rsidR="00505D21" w:rsidRPr="000440EC" w:rsidRDefault="00584FDD" w:rsidP="00046761">
      <w:pPr>
        <w:pStyle w:val="ListParagraph"/>
      </w:pPr>
      <w:r w:rsidRPr="000440EC">
        <w:t xml:space="preserve">Each of these matters </w:t>
      </w:r>
      <w:r w:rsidR="00505D21" w:rsidRPr="000440EC">
        <w:t>is</w:t>
      </w:r>
      <w:r w:rsidRPr="000440EC">
        <w:t xml:space="preserve"> further developed below.</w:t>
      </w:r>
    </w:p>
    <w:p w14:paraId="29B6E7D0" w14:textId="77777777" w:rsidR="00616BE2" w:rsidRPr="003F6485" w:rsidRDefault="00616BE2" w:rsidP="00616BE2">
      <w:pPr>
        <w:spacing w:before="360" w:after="240" w:line="240" w:lineRule="auto"/>
        <w:rPr>
          <w:b/>
        </w:rPr>
      </w:pPr>
      <w:r>
        <w:rPr>
          <w:b/>
        </w:rPr>
        <w:t>Legal capacity</w:t>
      </w:r>
    </w:p>
    <w:p w14:paraId="379BF169" w14:textId="75AAE6E2" w:rsidR="003100DB" w:rsidRDefault="003100DB" w:rsidP="00046761">
      <w:pPr>
        <w:pStyle w:val="ListParagraph"/>
      </w:pPr>
      <w:r>
        <w:t xml:space="preserve">Liberty Victoria has profound concerns that some aged care providers are unlawfully denying residents access to legal assistance on the false understanding that he or she does not have sufficient </w:t>
      </w:r>
      <w:r w:rsidRPr="003100DB">
        <w:rPr>
          <w:i/>
        </w:rPr>
        <w:t>capacity</w:t>
      </w:r>
      <w:r>
        <w:t xml:space="preserve"> to participate in th</w:t>
      </w:r>
      <w:r w:rsidR="00AA20B4">
        <w:t>ose</w:t>
      </w:r>
      <w:r>
        <w:t xml:space="preserve"> process</w:t>
      </w:r>
      <w:r w:rsidR="00AA20B4">
        <w:t>es</w:t>
      </w:r>
      <w:r>
        <w:t>.</w:t>
      </w:r>
    </w:p>
    <w:p w14:paraId="293CEAD2" w14:textId="2B4A8CEF" w:rsidR="00AA20B4" w:rsidRDefault="00616BE2" w:rsidP="00046761">
      <w:pPr>
        <w:pStyle w:val="ListParagraph"/>
      </w:pPr>
      <w:r>
        <w:t xml:space="preserve">Every adult person in Australia is generally presumed under law to have legal capacity to make their own decisions. In Victoria, this right is further protected by the </w:t>
      </w:r>
      <w:r w:rsidRPr="003100DB">
        <w:rPr>
          <w:i/>
        </w:rPr>
        <w:t>Charter of Human Rights and Responsibilities Act 2006</w:t>
      </w:r>
      <w:r>
        <w:t xml:space="preserve"> (Vic).</w:t>
      </w:r>
      <w:r w:rsidR="003100DB">
        <w:t xml:space="preserve"> </w:t>
      </w:r>
      <w:r w:rsidR="00AA20B4">
        <w:t>In international law this foundational principle is also an international human right.</w:t>
      </w:r>
      <w:r w:rsidR="00AA20B4">
        <w:rPr>
          <w:rStyle w:val="FootnoteReference"/>
        </w:rPr>
        <w:footnoteReference w:id="1"/>
      </w:r>
    </w:p>
    <w:p w14:paraId="43599FE6" w14:textId="1E951104" w:rsidR="00616BE2" w:rsidRDefault="00AA20B4" w:rsidP="00046761">
      <w:pPr>
        <w:pStyle w:val="ListParagraph"/>
      </w:pPr>
      <w:r>
        <w:t>Further, t</w:t>
      </w:r>
      <w:r w:rsidR="00616BE2">
        <w:t>he High Court of Australia has held that capacity is not a medical concept but rather a legal concept and it is determined by the relevant law applicable in each situation.</w:t>
      </w:r>
      <w:r w:rsidR="003100DB">
        <w:rPr>
          <w:rStyle w:val="FootnoteReference"/>
        </w:rPr>
        <w:footnoteReference w:id="2"/>
      </w:r>
      <w:r w:rsidR="00616BE2">
        <w:t xml:space="preserve"> </w:t>
      </w:r>
      <w:r w:rsidR="003100DB">
        <w:t xml:space="preserve">In this regard, a person’s </w:t>
      </w:r>
      <w:r w:rsidR="00616BE2">
        <w:t>capacity to manage one’s affairs hinges on the complexity of the task or activity, but it is ultimately a “functional” issue – one to be judged in a real-life social context of the person’s environment and supports. It is a “task-specific” and context-dependent question.</w:t>
      </w:r>
      <w:r w:rsidR="003100DB">
        <w:rPr>
          <w:rStyle w:val="FootnoteReference"/>
        </w:rPr>
        <w:footnoteReference w:id="3"/>
      </w:r>
      <w:r w:rsidR="00616BE2">
        <w:t xml:space="preserve"> For these reasons, a person may be found to have legal capacity to participate in one process but not another as it is entirely dependent on that person’s ability to understand the nature and consequences of the legal process.</w:t>
      </w:r>
      <w:r>
        <w:rPr>
          <w:rStyle w:val="FootnoteReference"/>
        </w:rPr>
        <w:footnoteReference w:id="4"/>
      </w:r>
    </w:p>
    <w:p w14:paraId="02E473E7" w14:textId="01AA7087" w:rsidR="008E4AAB" w:rsidRDefault="00AA20B4" w:rsidP="00046761">
      <w:pPr>
        <w:pStyle w:val="ListParagraph"/>
      </w:pPr>
      <w:r>
        <w:t xml:space="preserve">Liberty Victoria has profound concerns that the protocols and policies adopted by some aged care providers fail to recognise these principles. </w:t>
      </w:r>
      <w:r w:rsidR="008E4AAB">
        <w:t>In particular, we are concerned that diagnoses of cognitive loss and other medical conditions common to residents of aged care facilities are construed by staff, including senior management, as confirmation that the individual lacks capacity to determine his or her legal affairs.</w:t>
      </w:r>
    </w:p>
    <w:p w14:paraId="2893C93F" w14:textId="61D97760" w:rsidR="00AA20B4" w:rsidRDefault="00AA20B4" w:rsidP="00046761">
      <w:pPr>
        <w:pStyle w:val="ListParagraph"/>
      </w:pPr>
      <w:r>
        <w:t xml:space="preserve">To illustrate </w:t>
      </w:r>
      <w:proofErr w:type="gramStart"/>
      <w:r>
        <w:t>this</w:t>
      </w:r>
      <w:proofErr w:type="gramEnd"/>
      <w:r>
        <w:t xml:space="preserve"> we would like to provide the following example provided by one of our members who practices as a lawyer in Victoria</w:t>
      </w:r>
      <w:r w:rsidR="008E4AAB">
        <w:t>. Th</w:t>
      </w:r>
      <w:r w:rsidR="00980310">
        <w:t>is</w:t>
      </w:r>
      <w:r w:rsidR="008E4AAB">
        <w:t xml:space="preserve"> scenario has been depersonalised to preserve the client’s confidentiality.</w:t>
      </w:r>
      <w:r w:rsidR="008208BD">
        <w:t xml:space="preserve"> </w:t>
      </w:r>
    </w:p>
    <w:p w14:paraId="36EB3641" w14:textId="6F17831B" w:rsidR="008E4AAB" w:rsidRDefault="008E4AAB" w:rsidP="00B73B87">
      <w:pPr>
        <w:pStyle w:val="ListParagraph"/>
        <w:numPr>
          <w:ilvl w:val="1"/>
          <w:numId w:val="9"/>
        </w:numPr>
      </w:pPr>
      <w:r>
        <w:lastRenderedPageBreak/>
        <w:t>An elderly individual</w:t>
      </w:r>
      <w:r w:rsidR="008208BD">
        <w:t xml:space="preserve"> (who we will call Sofia) </w:t>
      </w:r>
      <w:r>
        <w:t>travelled</w:t>
      </w:r>
      <w:r w:rsidR="008208BD">
        <w:t xml:space="preserve"> </w:t>
      </w:r>
      <w:r>
        <w:t xml:space="preserve">to Australia to visit immediate family who were residing here. While here, conflict erupted in her home country making it too unsafe for her to return. Following this, </w:t>
      </w:r>
      <w:r w:rsidR="00546780">
        <w:t xml:space="preserve">fearing for her safety </w:t>
      </w:r>
      <w:r w:rsidR="008208BD">
        <w:t>Sophia</w:t>
      </w:r>
      <w:r>
        <w:t xml:space="preserve"> accesse</w:t>
      </w:r>
      <w:r w:rsidR="008208BD">
        <w:t>d</w:t>
      </w:r>
      <w:r>
        <w:t xml:space="preserve"> legal assistance from a lawyer/registered migration agent to apply </w:t>
      </w:r>
      <w:r w:rsidR="008208BD">
        <w:t xml:space="preserve">to the Department of Home Affairs </w:t>
      </w:r>
      <w:r>
        <w:t>for a protection visa to remain in Australia</w:t>
      </w:r>
      <w:r w:rsidR="008208BD">
        <w:t>.</w:t>
      </w:r>
    </w:p>
    <w:p w14:paraId="7B9A53AE" w14:textId="77423397" w:rsidR="008E4AAB" w:rsidRDefault="008E4AAB" w:rsidP="00B73B87">
      <w:pPr>
        <w:pStyle w:val="ListParagraph"/>
        <w:numPr>
          <w:ilvl w:val="1"/>
          <w:numId w:val="9"/>
        </w:numPr>
      </w:pPr>
      <w:r>
        <w:t xml:space="preserve">Subsequent to the lodgement of the protection visa application </w:t>
      </w:r>
      <w:r w:rsidR="008208BD">
        <w:t>Sophia</w:t>
      </w:r>
      <w:r>
        <w:t xml:space="preserve">’s health </w:t>
      </w:r>
      <w:r w:rsidR="00546780">
        <w:t>deteriorated</w:t>
      </w:r>
      <w:r>
        <w:t xml:space="preserve"> and she was placed in the care of an aged care provider.</w:t>
      </w:r>
      <w:r w:rsidR="008208BD">
        <w:t xml:space="preserve"> A medical professional diagnose</w:t>
      </w:r>
      <w:r w:rsidR="00546780">
        <w:t>d</w:t>
      </w:r>
      <w:r w:rsidR="008208BD">
        <w:t xml:space="preserve"> her as having suffered ‘cognitive loss’.</w:t>
      </w:r>
    </w:p>
    <w:p w14:paraId="28BE50E1" w14:textId="258AAABD" w:rsidR="008208BD" w:rsidRDefault="008208BD" w:rsidP="00B73B87">
      <w:pPr>
        <w:pStyle w:val="ListParagraph"/>
        <w:numPr>
          <w:ilvl w:val="1"/>
          <w:numId w:val="9"/>
        </w:numPr>
      </w:pPr>
      <w:r>
        <w:t xml:space="preserve">Sophia’s legal representative directed critical correspondence to the individual in the aged care facility for her consideration and urgent action. </w:t>
      </w:r>
      <w:r w:rsidR="00546780">
        <w:t>Relying on</w:t>
      </w:r>
      <w:r>
        <w:t xml:space="preserve"> medical professional’s diagnoses the aged care provider </w:t>
      </w:r>
      <w:r w:rsidR="00546780">
        <w:t>wrongly determined</w:t>
      </w:r>
      <w:r>
        <w:t xml:space="preserve"> </w:t>
      </w:r>
      <w:r w:rsidR="00546780">
        <w:t xml:space="preserve">Sophia </w:t>
      </w:r>
      <w:r>
        <w:t xml:space="preserve">not to have capacity </w:t>
      </w:r>
      <w:r w:rsidR="00546780">
        <w:t xml:space="preserve">to engage in her own legal affairs </w:t>
      </w:r>
      <w:r>
        <w:t>and</w:t>
      </w:r>
      <w:r w:rsidR="000B1A2C">
        <w:t xml:space="preserve"> believing it is in Sophia’s best interests, </w:t>
      </w:r>
      <w:r>
        <w:t>forward</w:t>
      </w:r>
      <w:r w:rsidR="00546780">
        <w:t>ed</w:t>
      </w:r>
      <w:r>
        <w:t xml:space="preserve"> all correspondence </w:t>
      </w:r>
      <w:r w:rsidR="00546780">
        <w:t xml:space="preserve">from her lawyer </w:t>
      </w:r>
      <w:r>
        <w:t xml:space="preserve">to </w:t>
      </w:r>
      <w:r w:rsidR="000B1A2C">
        <w:t>her</w:t>
      </w:r>
      <w:r>
        <w:t xml:space="preserve"> niece, being the person listed </w:t>
      </w:r>
      <w:r w:rsidR="000B1A2C">
        <w:t xml:space="preserve">on the facility’s file </w:t>
      </w:r>
      <w:r>
        <w:t>as the next of kin.</w:t>
      </w:r>
    </w:p>
    <w:p w14:paraId="2585DE2A" w14:textId="1F7217A0" w:rsidR="008208BD" w:rsidRDefault="008208BD" w:rsidP="00B73B87">
      <w:pPr>
        <w:pStyle w:val="ListParagraph"/>
        <w:numPr>
          <w:ilvl w:val="1"/>
          <w:numId w:val="9"/>
        </w:numPr>
      </w:pPr>
      <w:r>
        <w:t>The niece d</w:t>
      </w:r>
      <w:r w:rsidR="00546780">
        <w:t>id</w:t>
      </w:r>
      <w:r>
        <w:t xml:space="preserve"> not understand or respond to the letters from the legal representative. The representative contact</w:t>
      </w:r>
      <w:r w:rsidR="00546780">
        <w:t>ed</w:t>
      </w:r>
      <w:r>
        <w:t xml:space="preserve"> the aged care facility to confirm receipt of the correspondence and he </w:t>
      </w:r>
      <w:r w:rsidR="00546780">
        <w:t>was</w:t>
      </w:r>
      <w:r>
        <w:t xml:space="preserve"> told by senior management that Sophia did not have ‘capacity’ to deal with her legal affairs, and the niece was dealing with them.</w:t>
      </w:r>
    </w:p>
    <w:p w14:paraId="069F50E3" w14:textId="42581B34" w:rsidR="008208BD" w:rsidRDefault="008208BD" w:rsidP="00B73B87">
      <w:pPr>
        <w:pStyle w:val="ListParagraph"/>
        <w:numPr>
          <w:ilvl w:val="1"/>
          <w:numId w:val="9"/>
        </w:numPr>
      </w:pPr>
      <w:r>
        <w:t>The Department of Home Affairs ma</w:t>
      </w:r>
      <w:r w:rsidR="00546780">
        <w:t>d</w:t>
      </w:r>
      <w:r>
        <w:t>e a decision to refuse Sophia’s application for a protection visa</w:t>
      </w:r>
      <w:r w:rsidR="000B1A2C">
        <w:t>. In its correspondence the Department advise</w:t>
      </w:r>
      <w:r w:rsidR="00546780">
        <w:t>d</w:t>
      </w:r>
      <w:r w:rsidR="000B1A2C">
        <w:t xml:space="preserve"> that Sophia’s bridging visa w</w:t>
      </w:r>
      <w:r w:rsidR="00546780">
        <w:t>ould</w:t>
      </w:r>
      <w:r w:rsidR="000B1A2C">
        <w:t xml:space="preserve"> cease in 28 days, after which time she w</w:t>
      </w:r>
      <w:r w:rsidR="00546780">
        <w:t>ould</w:t>
      </w:r>
      <w:r w:rsidR="000B1A2C">
        <w:t xml:space="preserve"> be liable to being detained and placed in a locked immigration detention facility before being </w:t>
      </w:r>
      <w:r w:rsidR="0057258F">
        <w:t xml:space="preserve">forcibly </w:t>
      </w:r>
      <w:r w:rsidR="000B1A2C">
        <w:t>removed from Australia to her country of nationality.</w:t>
      </w:r>
    </w:p>
    <w:p w14:paraId="71F9BDE1" w14:textId="27722126" w:rsidR="000B1A2C" w:rsidRDefault="000B1A2C" w:rsidP="00B73B87">
      <w:pPr>
        <w:pStyle w:val="ListParagraph"/>
        <w:numPr>
          <w:ilvl w:val="1"/>
          <w:numId w:val="9"/>
        </w:numPr>
      </w:pPr>
      <w:r>
        <w:t xml:space="preserve">The legal representative </w:t>
      </w:r>
      <w:r w:rsidR="0057258F">
        <w:t>travelled</w:t>
      </w:r>
      <w:r>
        <w:t xml:space="preserve"> to the aged care facility and t</w:t>
      </w:r>
      <w:r w:rsidR="0057258F">
        <w:t>ook</w:t>
      </w:r>
      <w:r>
        <w:t xml:space="preserve"> instructions from Sophia. Sophia demonstrate</w:t>
      </w:r>
      <w:r w:rsidR="0057258F">
        <w:t>d</w:t>
      </w:r>
      <w:r>
        <w:t xml:space="preserve"> a high level of awareness of her protection visa process and </w:t>
      </w:r>
      <w:r w:rsidR="0057258F">
        <w:t>became</w:t>
      </w:r>
      <w:r>
        <w:t xml:space="preserve"> acutely distressed due to the fear she had of being detained and deported to the country she feared returning to. </w:t>
      </w:r>
      <w:r w:rsidR="00046761">
        <w:t xml:space="preserve">The legal representative immediately identified Sophia had capacity to provide instructions to him in relation to the protection visa process, and her migration processes more generally.  </w:t>
      </w:r>
    </w:p>
    <w:p w14:paraId="1BA2F082" w14:textId="714DAF6F" w:rsidR="000B1A2C" w:rsidRDefault="000B1A2C" w:rsidP="00B73B87">
      <w:pPr>
        <w:pStyle w:val="ListParagraph"/>
        <w:numPr>
          <w:ilvl w:val="1"/>
          <w:numId w:val="9"/>
        </w:numPr>
      </w:pPr>
      <w:r>
        <w:t>Sophia instruct</w:t>
      </w:r>
      <w:r w:rsidR="0057258F">
        <w:t>ed</w:t>
      </w:r>
      <w:r>
        <w:t xml:space="preserve"> </w:t>
      </w:r>
      <w:r w:rsidR="0057258F">
        <w:t>her</w:t>
      </w:r>
      <w:r>
        <w:t xml:space="preserve"> legal representative to lodge an urgent appeal and this temporarily prevent</w:t>
      </w:r>
      <w:r w:rsidR="0057258F">
        <w:t>ed</w:t>
      </w:r>
      <w:r>
        <w:t xml:space="preserve"> the Department from taking steps to detain and deport Sophia.</w:t>
      </w:r>
    </w:p>
    <w:p w14:paraId="259FF7F5" w14:textId="1CEA898C" w:rsidR="00046761" w:rsidRDefault="00616BE2" w:rsidP="00046761">
      <w:pPr>
        <w:pStyle w:val="ListParagraph"/>
      </w:pPr>
      <w:r>
        <w:t xml:space="preserve">It is not correct or appropriate to presume that </w:t>
      </w:r>
      <w:r w:rsidR="000B1A2C">
        <w:t xml:space="preserve">residents of aged care facilities lack </w:t>
      </w:r>
      <w:r>
        <w:t xml:space="preserve">capacity to engage with </w:t>
      </w:r>
      <w:r w:rsidR="000B1A2C">
        <w:t xml:space="preserve">their legal affairs </w:t>
      </w:r>
      <w:r>
        <w:t>solely on the basis of medical evidence</w:t>
      </w:r>
      <w:r w:rsidR="00F06D6A">
        <w:t xml:space="preserve"> or opinion</w:t>
      </w:r>
      <w:r w:rsidR="000B1A2C">
        <w:t xml:space="preserve">. It is absolutely critical that </w:t>
      </w:r>
      <w:r w:rsidR="00046761">
        <w:t>aged care service</w:t>
      </w:r>
      <w:r w:rsidR="000B1A2C">
        <w:t xml:space="preserve"> providers have </w:t>
      </w:r>
      <w:r w:rsidR="00046761">
        <w:t xml:space="preserve">formal safeguards in place to ensure: </w:t>
      </w:r>
    </w:p>
    <w:p w14:paraId="748B7E22" w14:textId="77777777" w:rsidR="00B73B87" w:rsidRDefault="00046761" w:rsidP="00B73B87">
      <w:pPr>
        <w:pStyle w:val="ListParagraph"/>
        <w:numPr>
          <w:ilvl w:val="1"/>
          <w:numId w:val="9"/>
        </w:numPr>
      </w:pPr>
      <w:r>
        <w:t xml:space="preserve">the assessment of a resident’s capacity in a medical sense will not be conflated with the assessment of legal capacity, and </w:t>
      </w:r>
    </w:p>
    <w:p w14:paraId="140A8108" w14:textId="4C97E7C4" w:rsidR="00046761" w:rsidRDefault="00B73B87" w:rsidP="00B73B87">
      <w:pPr>
        <w:pStyle w:val="ListParagraph"/>
        <w:numPr>
          <w:ilvl w:val="1"/>
          <w:numId w:val="9"/>
        </w:numPr>
      </w:pPr>
      <w:r>
        <w:t xml:space="preserve">aged care providers alert </w:t>
      </w:r>
      <w:r w:rsidR="00046761">
        <w:t xml:space="preserve">legal representatives immediately in circumstances where evidence </w:t>
      </w:r>
      <w:r>
        <w:t>arises that might rebut the</w:t>
      </w:r>
      <w:r w:rsidR="00046761">
        <w:t xml:space="preserve"> presumption of legal capacity </w:t>
      </w:r>
      <w:r>
        <w:t>(so that the legal representative can facilitate this assessment themselves)</w:t>
      </w:r>
      <w:r w:rsidR="00046761">
        <w:t xml:space="preserve">.  </w:t>
      </w:r>
    </w:p>
    <w:p w14:paraId="65FA0F39" w14:textId="1103B20D" w:rsidR="00505D21" w:rsidRPr="00283AAD" w:rsidRDefault="00084D45" w:rsidP="007024AC">
      <w:pPr>
        <w:spacing w:before="360" w:after="240" w:line="269" w:lineRule="auto"/>
        <w:rPr>
          <w:rFonts w:cs="Arial"/>
          <w:b/>
          <w:szCs w:val="22"/>
        </w:rPr>
      </w:pPr>
      <w:r>
        <w:rPr>
          <w:rFonts w:cs="Arial"/>
          <w:b/>
          <w:szCs w:val="22"/>
        </w:rPr>
        <w:t>Linguistically diverse residents</w:t>
      </w:r>
    </w:p>
    <w:p w14:paraId="21286077" w14:textId="6D6A6D36" w:rsidR="00B73B87" w:rsidRDefault="00B73B87" w:rsidP="00B73B87">
      <w:pPr>
        <w:pStyle w:val="ListParagraph"/>
      </w:pPr>
      <w:r w:rsidRPr="00B73B87">
        <w:lastRenderedPageBreak/>
        <w:t xml:space="preserve">Liberty Victoria is concerned that some aged care providers routinely deny residents from linguistically diverse backgrounds the use of appropriate translation and interpreting services. </w:t>
      </w:r>
      <w:r>
        <w:t xml:space="preserve">This </w:t>
      </w:r>
      <w:r w:rsidR="00E62E8F">
        <w:t>may be due to most private aged care facilities generally being ineligible for access to Commonwealth funded translating and interpreting services through TIS National.</w:t>
      </w:r>
      <w:r w:rsidR="00E62E8F">
        <w:rPr>
          <w:rStyle w:val="FootnoteReference"/>
        </w:rPr>
        <w:footnoteReference w:id="5"/>
      </w:r>
    </w:p>
    <w:p w14:paraId="37EB9AA6" w14:textId="3E25C4A1" w:rsidR="00546780" w:rsidRDefault="00E62E8F" w:rsidP="00546780">
      <w:pPr>
        <w:pStyle w:val="ListParagraph"/>
      </w:pPr>
      <w:r>
        <w:t xml:space="preserve">It is our strong view that access to </w:t>
      </w:r>
      <w:r w:rsidR="00546780">
        <w:t>interpreting and translation services for residents of aged care facilities is not only critical to ensuring these individuals’ wellbeing and sense of dignity, but also so that residents can access critical basic services such as medical care, social security services and access to legal advice and assistance</w:t>
      </w:r>
      <w:r w:rsidR="00587227">
        <w:t xml:space="preserve">.  </w:t>
      </w:r>
    </w:p>
    <w:p w14:paraId="19175C53" w14:textId="34CE7723" w:rsidR="00AF3DE2" w:rsidRPr="0057258F" w:rsidRDefault="0057258F" w:rsidP="007024AC">
      <w:pPr>
        <w:spacing w:before="360" w:after="240" w:line="240" w:lineRule="auto"/>
        <w:rPr>
          <w:rFonts w:cs="Arial"/>
          <w:b/>
          <w:szCs w:val="22"/>
        </w:rPr>
      </w:pPr>
      <w:r w:rsidRPr="0057258F">
        <w:rPr>
          <w:rFonts w:cs="Arial"/>
          <w:b/>
          <w:szCs w:val="22"/>
        </w:rPr>
        <w:t>Conclusion</w:t>
      </w:r>
    </w:p>
    <w:p w14:paraId="6FD55196" w14:textId="26EC9AF1" w:rsidR="00112D79" w:rsidRPr="0057258F" w:rsidRDefault="0057258F" w:rsidP="0057258F">
      <w:pPr>
        <w:pStyle w:val="ListParagraph"/>
      </w:pPr>
      <w:r w:rsidRPr="0057258F">
        <w:t>Liberty Victoria strongly recommends the Royal Commission extend its inquiry to include consideration of these important matters.</w:t>
      </w:r>
    </w:p>
    <w:p w14:paraId="2FDB5DF9" w14:textId="77777777" w:rsidR="001F251D" w:rsidRPr="00283AAD" w:rsidRDefault="001F251D" w:rsidP="00AF3DE2">
      <w:pPr>
        <w:rPr>
          <w:rFonts w:cs="Arial"/>
          <w:szCs w:val="22"/>
        </w:rPr>
      </w:pPr>
    </w:p>
    <w:p w14:paraId="684DBCCE" w14:textId="77777777" w:rsidR="00AF3DE2" w:rsidRPr="00283AAD" w:rsidRDefault="00AF3DE2" w:rsidP="00AF3DE2">
      <w:pPr>
        <w:rPr>
          <w:rFonts w:cs="Arial"/>
          <w:b/>
          <w:szCs w:val="22"/>
        </w:rPr>
      </w:pPr>
      <w:r w:rsidRPr="00283AAD">
        <w:rPr>
          <w:rFonts w:cs="Arial"/>
          <w:b/>
          <w:szCs w:val="22"/>
        </w:rPr>
        <w:t>Jessie Taylor</w:t>
      </w:r>
    </w:p>
    <w:p w14:paraId="09510E92" w14:textId="77777777" w:rsidR="00AF3DE2" w:rsidRPr="00283AAD" w:rsidRDefault="00AF3DE2" w:rsidP="00AF3DE2">
      <w:pPr>
        <w:rPr>
          <w:rFonts w:cs="Arial"/>
          <w:b/>
          <w:szCs w:val="22"/>
        </w:rPr>
      </w:pPr>
      <w:r w:rsidRPr="00283AAD">
        <w:rPr>
          <w:rFonts w:cs="Arial"/>
          <w:b/>
          <w:szCs w:val="22"/>
        </w:rPr>
        <w:t>President, Liberty Victoria</w:t>
      </w:r>
    </w:p>
    <w:p w14:paraId="2975FE6B" w14:textId="77777777" w:rsidR="00AF3DE2" w:rsidRPr="00B4658A" w:rsidRDefault="00AF3DE2" w:rsidP="005A36ED">
      <w:pPr>
        <w:pStyle w:val="Heading2"/>
        <w:spacing w:before="0" w:beforeAutospacing="0" w:after="0" w:afterAutospacing="0"/>
        <w:jc w:val="both"/>
        <w:rPr>
          <w:rFonts w:eastAsia="Times New Roman"/>
          <w:i/>
          <w:iCs/>
          <w:color w:val="222222"/>
          <w:sz w:val="24"/>
          <w:szCs w:val="24"/>
          <w:lang w:val="en-US"/>
        </w:rPr>
      </w:pPr>
    </w:p>
    <w:p w14:paraId="525BF5D7" w14:textId="77777777" w:rsidR="00434FEB" w:rsidRPr="00B4658A" w:rsidRDefault="00434FEB" w:rsidP="00434FEB">
      <w:pPr>
        <w:shd w:val="clear" w:color="auto" w:fill="FFFFFF"/>
        <w:spacing w:before="200" w:after="200" w:line="360" w:lineRule="auto"/>
        <w:jc w:val="both"/>
        <w:rPr>
          <w:rFonts w:ascii="Times New Roman" w:hAnsi="Times New Roman"/>
          <w:sz w:val="24"/>
          <w:lang w:val="en-US"/>
        </w:rPr>
      </w:pPr>
    </w:p>
    <w:sectPr w:rsidR="00434FEB" w:rsidRPr="00B4658A" w:rsidSect="000E1762">
      <w:footerReference w:type="even" r:id="rId10"/>
      <w:footerReference w:type="default" r:id="rId11"/>
      <w:footerReference w:type="first" r:id="rId12"/>
      <w:pgSz w:w="11900" w:h="16840"/>
      <w:pgMar w:top="136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3BA4" w14:textId="77777777" w:rsidR="00441C97" w:rsidRDefault="00441C97" w:rsidP="000F5DEA">
      <w:pPr>
        <w:spacing w:line="240" w:lineRule="auto"/>
      </w:pPr>
      <w:r>
        <w:separator/>
      </w:r>
    </w:p>
  </w:endnote>
  <w:endnote w:type="continuationSeparator" w:id="0">
    <w:p w14:paraId="0D30ECD4" w14:textId="77777777" w:rsidR="00441C97" w:rsidRDefault="00441C97" w:rsidP="000F5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HK Grotesk">
    <w:altName w:val="Calibri"/>
    <w:panose1 w:val="00000000000000000000"/>
    <w:charset w:val="00"/>
    <w:family w:val="swiss"/>
    <w:notTrueType/>
    <w:pitch w:val="default"/>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TrebuchetMS">
    <w:charset w:val="00"/>
    <w:family w:val="auto"/>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451C" w14:textId="77777777" w:rsidR="00970248" w:rsidRDefault="00970248" w:rsidP="003445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0F1D5" w14:textId="77777777" w:rsidR="00970248" w:rsidRDefault="00970248" w:rsidP="00105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C336" w14:textId="59BF8179" w:rsidR="00970248" w:rsidRDefault="00970248" w:rsidP="003445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905">
      <w:rPr>
        <w:rStyle w:val="PageNumber"/>
        <w:noProof/>
      </w:rPr>
      <w:t>8</w:t>
    </w:r>
    <w:r>
      <w:rPr>
        <w:rStyle w:val="PageNumber"/>
      </w:rPr>
      <w:fldChar w:fldCharType="end"/>
    </w:r>
  </w:p>
  <w:p w14:paraId="13580FFB" w14:textId="77777777" w:rsidR="00970248" w:rsidRDefault="00970248" w:rsidP="00105F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7559214"/>
      <w:docPartObj>
        <w:docPartGallery w:val="Page Numbers (Bottom of Page)"/>
        <w:docPartUnique/>
      </w:docPartObj>
    </w:sdtPr>
    <w:sdtEndPr>
      <w:rPr>
        <w:rStyle w:val="PageNumber"/>
      </w:rPr>
    </w:sdtEndPr>
    <w:sdtContent>
      <w:p w14:paraId="594418AE" w14:textId="668D7DE3" w:rsidR="007024AC" w:rsidRDefault="007024AC" w:rsidP="00B644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890812" w14:textId="77777777" w:rsidR="007024AC" w:rsidRDefault="007024AC" w:rsidP="007024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5FB6" w14:textId="77777777" w:rsidR="00441C97" w:rsidRDefault="00441C97" w:rsidP="000F5DEA">
      <w:pPr>
        <w:spacing w:line="240" w:lineRule="auto"/>
      </w:pPr>
      <w:r>
        <w:separator/>
      </w:r>
    </w:p>
  </w:footnote>
  <w:footnote w:type="continuationSeparator" w:id="0">
    <w:p w14:paraId="37814598" w14:textId="77777777" w:rsidR="00441C97" w:rsidRDefault="00441C97" w:rsidP="000F5DEA">
      <w:pPr>
        <w:spacing w:line="240" w:lineRule="auto"/>
      </w:pPr>
      <w:r>
        <w:continuationSeparator/>
      </w:r>
    </w:p>
  </w:footnote>
  <w:footnote w:id="1">
    <w:p w14:paraId="660D85E9" w14:textId="20262FF7" w:rsidR="00AA20B4" w:rsidRPr="00546780" w:rsidRDefault="00AA20B4">
      <w:pPr>
        <w:pStyle w:val="FootnoteText"/>
        <w:rPr>
          <w:sz w:val="18"/>
          <w:szCs w:val="18"/>
          <w:lang w:val="en-AU"/>
        </w:rPr>
      </w:pPr>
      <w:r w:rsidRPr="00546780">
        <w:rPr>
          <w:rStyle w:val="FootnoteReference"/>
          <w:sz w:val="18"/>
          <w:szCs w:val="18"/>
        </w:rPr>
        <w:footnoteRef/>
      </w:r>
      <w:r w:rsidRPr="00546780">
        <w:rPr>
          <w:sz w:val="18"/>
          <w:szCs w:val="18"/>
        </w:rPr>
        <w:t xml:space="preserve"> International Covenant on Civil and Political Rights opened for signature 16 December 1966, 999 UTS 171 [entered into force 23 March 1976], Article 16.</w:t>
      </w:r>
    </w:p>
  </w:footnote>
  <w:footnote w:id="2">
    <w:p w14:paraId="496ADCF1" w14:textId="5292CB24" w:rsidR="003100DB" w:rsidRPr="00546780" w:rsidRDefault="003100DB">
      <w:pPr>
        <w:pStyle w:val="FootnoteText"/>
        <w:rPr>
          <w:sz w:val="18"/>
          <w:szCs w:val="18"/>
          <w:lang w:val="en-AU"/>
        </w:rPr>
      </w:pPr>
      <w:r w:rsidRPr="00546780">
        <w:rPr>
          <w:rStyle w:val="FootnoteReference"/>
          <w:sz w:val="18"/>
          <w:szCs w:val="18"/>
        </w:rPr>
        <w:footnoteRef/>
      </w:r>
      <w:r w:rsidRPr="00546780">
        <w:rPr>
          <w:sz w:val="18"/>
          <w:szCs w:val="18"/>
        </w:rPr>
        <w:t xml:space="preserve"> </w:t>
      </w:r>
      <w:r w:rsidRPr="00546780">
        <w:rPr>
          <w:i/>
          <w:sz w:val="18"/>
          <w:szCs w:val="18"/>
        </w:rPr>
        <w:t>Gibbons v Wright</w:t>
      </w:r>
      <w:r w:rsidRPr="00546780">
        <w:rPr>
          <w:sz w:val="18"/>
          <w:szCs w:val="18"/>
        </w:rPr>
        <w:t xml:space="preserve"> (1954) 91 CLR 423.</w:t>
      </w:r>
    </w:p>
  </w:footnote>
  <w:footnote w:id="3">
    <w:p w14:paraId="7A4EA1E9" w14:textId="117CB9EE" w:rsidR="003100DB" w:rsidRPr="00546780" w:rsidRDefault="003100DB" w:rsidP="003100DB">
      <w:pPr>
        <w:pStyle w:val="FootnoteText"/>
        <w:rPr>
          <w:sz w:val="18"/>
          <w:szCs w:val="18"/>
        </w:rPr>
      </w:pPr>
      <w:r w:rsidRPr="00546780">
        <w:rPr>
          <w:rStyle w:val="FootnoteReference"/>
          <w:sz w:val="18"/>
          <w:szCs w:val="18"/>
        </w:rPr>
        <w:footnoteRef/>
      </w:r>
      <w:r w:rsidRPr="00546780">
        <w:rPr>
          <w:sz w:val="18"/>
          <w:szCs w:val="18"/>
        </w:rPr>
        <w:t xml:space="preserve"> Terry Carney, ‘Aged capacity and substitute decision-making in Australia and Japan’ (2003/2004) LAWASIA Journal 14.</w:t>
      </w:r>
    </w:p>
  </w:footnote>
  <w:footnote w:id="4">
    <w:p w14:paraId="3625093A" w14:textId="03D53CF3" w:rsidR="00AA20B4" w:rsidRPr="00546780" w:rsidRDefault="00AA20B4" w:rsidP="00AA20B4">
      <w:pPr>
        <w:pStyle w:val="FootnoteText"/>
        <w:rPr>
          <w:sz w:val="18"/>
          <w:szCs w:val="18"/>
        </w:rPr>
      </w:pPr>
      <w:r w:rsidRPr="00546780">
        <w:rPr>
          <w:rStyle w:val="FootnoteReference"/>
          <w:sz w:val="18"/>
          <w:szCs w:val="18"/>
        </w:rPr>
        <w:footnoteRef/>
      </w:r>
      <w:r w:rsidRPr="00546780">
        <w:rPr>
          <w:sz w:val="18"/>
          <w:szCs w:val="18"/>
        </w:rPr>
        <w:t xml:space="preserve"> Nick O’Neil and </w:t>
      </w:r>
      <w:r w:rsidRPr="00546780">
        <w:rPr>
          <w:sz w:val="18"/>
          <w:szCs w:val="18"/>
        </w:rPr>
        <w:t>Carmelle Peisah, ‘Chapter 1 – Capacity’ [2011] SydUPLawBk 3 in Capacity and the Law (2011) 3.</w:t>
      </w:r>
    </w:p>
  </w:footnote>
  <w:footnote w:id="5">
    <w:p w14:paraId="702FE6B7" w14:textId="4ED262EA" w:rsidR="00E62E8F" w:rsidRPr="00546780" w:rsidRDefault="00E62E8F">
      <w:pPr>
        <w:pStyle w:val="FootnoteText"/>
        <w:rPr>
          <w:sz w:val="18"/>
          <w:szCs w:val="18"/>
          <w:lang w:val="en-AU"/>
        </w:rPr>
      </w:pPr>
      <w:r w:rsidRPr="00546780">
        <w:rPr>
          <w:rStyle w:val="FootnoteReference"/>
          <w:sz w:val="18"/>
          <w:szCs w:val="18"/>
        </w:rPr>
        <w:footnoteRef/>
      </w:r>
      <w:r w:rsidRPr="00546780">
        <w:rPr>
          <w:sz w:val="18"/>
          <w:szCs w:val="18"/>
        </w:rPr>
        <w:t xml:space="preserve"> Commonwealth Department of Social Services, Settlement Services, Free Interpreting Service, available at: </w:t>
      </w:r>
      <w:hyperlink r:id="rId1" w:history="1">
        <w:r w:rsidRPr="00546780">
          <w:rPr>
            <w:rStyle w:val="Hyperlink"/>
            <w:sz w:val="18"/>
            <w:szCs w:val="18"/>
            <w:lang w:val="en-GB"/>
          </w:rPr>
          <w:t>https://www.dss.gov.au/our-responsibilities/settlement-services/programs-policy/settle-in-australia/help-with-english/free-interpreting-service</w:t>
        </w:r>
      </w:hyperlink>
      <w:r w:rsidRPr="00546780">
        <w:rPr>
          <w:sz w:val="18"/>
          <w:szCs w:val="18"/>
        </w:rPr>
        <w:t xml:space="preserve"> [accessed 27 September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420"/>
    <w:multiLevelType w:val="hybridMultilevel"/>
    <w:tmpl w:val="89C60264"/>
    <w:lvl w:ilvl="0" w:tplc="1CA6632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25C8F1E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A03B2E"/>
    <w:multiLevelType w:val="hybridMultilevel"/>
    <w:tmpl w:val="4A3C3CD4"/>
    <w:lvl w:ilvl="0" w:tplc="027822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F33FAD"/>
    <w:multiLevelType w:val="hybridMultilevel"/>
    <w:tmpl w:val="3ACE820E"/>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321CC"/>
    <w:multiLevelType w:val="hybridMultilevel"/>
    <w:tmpl w:val="5F0847CE"/>
    <w:lvl w:ilvl="0" w:tplc="1CA6632C">
      <w:start w:val="1"/>
      <w:numFmt w:val="decimal"/>
      <w:lvlText w:val="%1."/>
      <w:lvlJc w:val="left"/>
      <w:pPr>
        <w:ind w:left="720" w:hanging="360"/>
      </w:pPr>
    </w:lvl>
    <w:lvl w:ilvl="1" w:tplc="04090019">
      <w:start w:val="1"/>
      <w:numFmt w:val="lowerLetter"/>
      <w:lvlText w:val="%2."/>
      <w:lvlJc w:val="left"/>
      <w:pPr>
        <w:ind w:left="1440" w:hanging="360"/>
      </w:pPr>
    </w:lvl>
    <w:lvl w:ilvl="2" w:tplc="25C8F1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81B6D"/>
    <w:multiLevelType w:val="hybridMultilevel"/>
    <w:tmpl w:val="9E4C39E6"/>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D4BBC"/>
    <w:multiLevelType w:val="hybridMultilevel"/>
    <w:tmpl w:val="78B2DE8A"/>
    <w:lvl w:ilvl="0" w:tplc="7D4C665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3"/>
  </w:num>
  <w:num w:numId="6">
    <w:abstractNumId w:val="3"/>
  </w:num>
  <w:num w:numId="7">
    <w:abstractNumId w:val="5"/>
  </w:num>
  <w:num w:numId="8">
    <w:abstractNumId w:val="3"/>
    <w:lvlOverride w:ilvl="0">
      <w:startOverride w:val="1"/>
    </w:lvlOverride>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7A"/>
    <w:rsid w:val="000106D1"/>
    <w:rsid w:val="00010F4C"/>
    <w:rsid w:val="000137AE"/>
    <w:rsid w:val="00013CA7"/>
    <w:rsid w:val="00024718"/>
    <w:rsid w:val="000303EC"/>
    <w:rsid w:val="000309D2"/>
    <w:rsid w:val="00036036"/>
    <w:rsid w:val="000440EC"/>
    <w:rsid w:val="00044651"/>
    <w:rsid w:val="00046761"/>
    <w:rsid w:val="00077905"/>
    <w:rsid w:val="00080CD5"/>
    <w:rsid w:val="00080DD7"/>
    <w:rsid w:val="000814DD"/>
    <w:rsid w:val="00084D45"/>
    <w:rsid w:val="000A28C1"/>
    <w:rsid w:val="000A7C6D"/>
    <w:rsid w:val="000B1A2C"/>
    <w:rsid w:val="000B47F4"/>
    <w:rsid w:val="000C3F25"/>
    <w:rsid w:val="000E1762"/>
    <w:rsid w:val="000E626F"/>
    <w:rsid w:val="000F4300"/>
    <w:rsid w:val="000F5DEA"/>
    <w:rsid w:val="00105FF3"/>
    <w:rsid w:val="00112D79"/>
    <w:rsid w:val="00121941"/>
    <w:rsid w:val="00131F21"/>
    <w:rsid w:val="0014280B"/>
    <w:rsid w:val="001466F1"/>
    <w:rsid w:val="00147175"/>
    <w:rsid w:val="00155147"/>
    <w:rsid w:val="00160A60"/>
    <w:rsid w:val="00195499"/>
    <w:rsid w:val="001A7A34"/>
    <w:rsid w:val="001B3DAF"/>
    <w:rsid w:val="001B6F24"/>
    <w:rsid w:val="001C0FFA"/>
    <w:rsid w:val="001C247C"/>
    <w:rsid w:val="001C592F"/>
    <w:rsid w:val="001C7B16"/>
    <w:rsid w:val="001D1568"/>
    <w:rsid w:val="001D1958"/>
    <w:rsid w:val="001D305F"/>
    <w:rsid w:val="001D3C41"/>
    <w:rsid w:val="001F196C"/>
    <w:rsid w:val="001F251D"/>
    <w:rsid w:val="00201287"/>
    <w:rsid w:val="00206C4D"/>
    <w:rsid w:val="00224EE8"/>
    <w:rsid w:val="002321B4"/>
    <w:rsid w:val="0023366D"/>
    <w:rsid w:val="002453C9"/>
    <w:rsid w:val="00250233"/>
    <w:rsid w:val="00254152"/>
    <w:rsid w:val="00255ABF"/>
    <w:rsid w:val="002614B0"/>
    <w:rsid w:val="00261C0D"/>
    <w:rsid w:val="00267B35"/>
    <w:rsid w:val="0027224D"/>
    <w:rsid w:val="002810AA"/>
    <w:rsid w:val="00283AAD"/>
    <w:rsid w:val="002902BD"/>
    <w:rsid w:val="00294558"/>
    <w:rsid w:val="002948FB"/>
    <w:rsid w:val="00296924"/>
    <w:rsid w:val="00297B65"/>
    <w:rsid w:val="002B0E55"/>
    <w:rsid w:val="002C246C"/>
    <w:rsid w:val="002C7A8F"/>
    <w:rsid w:val="002D1C8A"/>
    <w:rsid w:val="002D77B6"/>
    <w:rsid w:val="002E2802"/>
    <w:rsid w:val="002E6D4B"/>
    <w:rsid w:val="002F3626"/>
    <w:rsid w:val="002F79F1"/>
    <w:rsid w:val="003055FC"/>
    <w:rsid w:val="003100DB"/>
    <w:rsid w:val="00312E56"/>
    <w:rsid w:val="003228E2"/>
    <w:rsid w:val="003248E7"/>
    <w:rsid w:val="00325209"/>
    <w:rsid w:val="0032674D"/>
    <w:rsid w:val="00327908"/>
    <w:rsid w:val="00327F65"/>
    <w:rsid w:val="00331F10"/>
    <w:rsid w:val="0034453B"/>
    <w:rsid w:val="003446FF"/>
    <w:rsid w:val="00352947"/>
    <w:rsid w:val="0035349D"/>
    <w:rsid w:val="00353F6A"/>
    <w:rsid w:val="00365DB0"/>
    <w:rsid w:val="00380515"/>
    <w:rsid w:val="00383EA2"/>
    <w:rsid w:val="00385C37"/>
    <w:rsid w:val="003A1A29"/>
    <w:rsid w:val="003A2EF7"/>
    <w:rsid w:val="003B2D7E"/>
    <w:rsid w:val="003B6D89"/>
    <w:rsid w:val="003C35E4"/>
    <w:rsid w:val="003D2A04"/>
    <w:rsid w:val="003D665B"/>
    <w:rsid w:val="003F6485"/>
    <w:rsid w:val="00414C33"/>
    <w:rsid w:val="0041657A"/>
    <w:rsid w:val="00430EF5"/>
    <w:rsid w:val="00433435"/>
    <w:rsid w:val="00434FEB"/>
    <w:rsid w:val="00441C97"/>
    <w:rsid w:val="00457D7F"/>
    <w:rsid w:val="00465B90"/>
    <w:rsid w:val="00467138"/>
    <w:rsid w:val="00467CF6"/>
    <w:rsid w:val="00474155"/>
    <w:rsid w:val="00475500"/>
    <w:rsid w:val="00481245"/>
    <w:rsid w:val="00481AE5"/>
    <w:rsid w:val="004911FB"/>
    <w:rsid w:val="004942D3"/>
    <w:rsid w:val="004A44DD"/>
    <w:rsid w:val="004A60CC"/>
    <w:rsid w:val="004A7CA1"/>
    <w:rsid w:val="004B4F1F"/>
    <w:rsid w:val="004C3AAD"/>
    <w:rsid w:val="004E5AAB"/>
    <w:rsid w:val="004F34FC"/>
    <w:rsid w:val="004F4304"/>
    <w:rsid w:val="00505D21"/>
    <w:rsid w:val="005243CA"/>
    <w:rsid w:val="00535C33"/>
    <w:rsid w:val="00544731"/>
    <w:rsid w:val="00546780"/>
    <w:rsid w:val="0055651B"/>
    <w:rsid w:val="00557BBB"/>
    <w:rsid w:val="0057258F"/>
    <w:rsid w:val="00580243"/>
    <w:rsid w:val="005807B8"/>
    <w:rsid w:val="00584FDD"/>
    <w:rsid w:val="00587227"/>
    <w:rsid w:val="005914C1"/>
    <w:rsid w:val="0059614D"/>
    <w:rsid w:val="0059634D"/>
    <w:rsid w:val="005A1CE7"/>
    <w:rsid w:val="005A36ED"/>
    <w:rsid w:val="005A6497"/>
    <w:rsid w:val="005B3BE6"/>
    <w:rsid w:val="005C2404"/>
    <w:rsid w:val="005C3DCB"/>
    <w:rsid w:val="005C75A0"/>
    <w:rsid w:val="005C7AA1"/>
    <w:rsid w:val="005D6598"/>
    <w:rsid w:val="005E027C"/>
    <w:rsid w:val="005E265A"/>
    <w:rsid w:val="005F4309"/>
    <w:rsid w:val="00604A14"/>
    <w:rsid w:val="00611D3D"/>
    <w:rsid w:val="00616BE2"/>
    <w:rsid w:val="0062704E"/>
    <w:rsid w:val="0063272F"/>
    <w:rsid w:val="00636C60"/>
    <w:rsid w:val="00651E75"/>
    <w:rsid w:val="00654CD6"/>
    <w:rsid w:val="00660604"/>
    <w:rsid w:val="006657CB"/>
    <w:rsid w:val="0067377A"/>
    <w:rsid w:val="006811D6"/>
    <w:rsid w:val="006848EB"/>
    <w:rsid w:val="00686291"/>
    <w:rsid w:val="00686881"/>
    <w:rsid w:val="00694EA8"/>
    <w:rsid w:val="00696644"/>
    <w:rsid w:val="006A24D7"/>
    <w:rsid w:val="006A4200"/>
    <w:rsid w:val="006D4732"/>
    <w:rsid w:val="006E7DFA"/>
    <w:rsid w:val="006F30AC"/>
    <w:rsid w:val="00700268"/>
    <w:rsid w:val="007024AC"/>
    <w:rsid w:val="007045E8"/>
    <w:rsid w:val="00704D48"/>
    <w:rsid w:val="007107C7"/>
    <w:rsid w:val="0071569C"/>
    <w:rsid w:val="00732BAF"/>
    <w:rsid w:val="007352F9"/>
    <w:rsid w:val="007363A8"/>
    <w:rsid w:val="00737A32"/>
    <w:rsid w:val="00740160"/>
    <w:rsid w:val="007536D6"/>
    <w:rsid w:val="00790775"/>
    <w:rsid w:val="00797C46"/>
    <w:rsid w:val="007B3171"/>
    <w:rsid w:val="007C2828"/>
    <w:rsid w:val="007D101F"/>
    <w:rsid w:val="007D10B3"/>
    <w:rsid w:val="007E6FBA"/>
    <w:rsid w:val="007F3201"/>
    <w:rsid w:val="0081100C"/>
    <w:rsid w:val="00813A10"/>
    <w:rsid w:val="008208BD"/>
    <w:rsid w:val="008349A8"/>
    <w:rsid w:val="00834D55"/>
    <w:rsid w:val="00836FA2"/>
    <w:rsid w:val="00836FB3"/>
    <w:rsid w:val="00843B61"/>
    <w:rsid w:val="0084578C"/>
    <w:rsid w:val="0086283F"/>
    <w:rsid w:val="00863459"/>
    <w:rsid w:val="0086554A"/>
    <w:rsid w:val="008714C0"/>
    <w:rsid w:val="00875F2D"/>
    <w:rsid w:val="0089580E"/>
    <w:rsid w:val="008A0D5F"/>
    <w:rsid w:val="008B266C"/>
    <w:rsid w:val="008B5808"/>
    <w:rsid w:val="008B75F2"/>
    <w:rsid w:val="008B7988"/>
    <w:rsid w:val="008C4FB5"/>
    <w:rsid w:val="008C53FB"/>
    <w:rsid w:val="008E406E"/>
    <w:rsid w:val="008E4AAB"/>
    <w:rsid w:val="008F1CDB"/>
    <w:rsid w:val="008F1F54"/>
    <w:rsid w:val="008F4E94"/>
    <w:rsid w:val="00907C0F"/>
    <w:rsid w:val="00920350"/>
    <w:rsid w:val="00924640"/>
    <w:rsid w:val="0093645D"/>
    <w:rsid w:val="009401B1"/>
    <w:rsid w:val="009423CC"/>
    <w:rsid w:val="009426A1"/>
    <w:rsid w:val="00943AD7"/>
    <w:rsid w:val="0094666D"/>
    <w:rsid w:val="009560AB"/>
    <w:rsid w:val="0096418D"/>
    <w:rsid w:val="00967418"/>
    <w:rsid w:val="00970248"/>
    <w:rsid w:val="00980310"/>
    <w:rsid w:val="00981CB6"/>
    <w:rsid w:val="00982967"/>
    <w:rsid w:val="009862B5"/>
    <w:rsid w:val="00987D77"/>
    <w:rsid w:val="009A059F"/>
    <w:rsid w:val="009A0F6A"/>
    <w:rsid w:val="009A74BE"/>
    <w:rsid w:val="009C41A7"/>
    <w:rsid w:val="009C430A"/>
    <w:rsid w:val="009C45C2"/>
    <w:rsid w:val="009D1ADE"/>
    <w:rsid w:val="009E3DB6"/>
    <w:rsid w:val="00A00CF4"/>
    <w:rsid w:val="00A0533D"/>
    <w:rsid w:val="00A10E95"/>
    <w:rsid w:val="00A17640"/>
    <w:rsid w:val="00A228C1"/>
    <w:rsid w:val="00A2773B"/>
    <w:rsid w:val="00A34BF7"/>
    <w:rsid w:val="00A506E8"/>
    <w:rsid w:val="00A50B00"/>
    <w:rsid w:val="00A524AC"/>
    <w:rsid w:val="00A60497"/>
    <w:rsid w:val="00A6585D"/>
    <w:rsid w:val="00A71112"/>
    <w:rsid w:val="00A72050"/>
    <w:rsid w:val="00A87D01"/>
    <w:rsid w:val="00A93F7A"/>
    <w:rsid w:val="00A94B00"/>
    <w:rsid w:val="00A96DB9"/>
    <w:rsid w:val="00AA20B4"/>
    <w:rsid w:val="00AA5082"/>
    <w:rsid w:val="00AB069A"/>
    <w:rsid w:val="00AB1095"/>
    <w:rsid w:val="00AB4661"/>
    <w:rsid w:val="00AC1256"/>
    <w:rsid w:val="00AD7EA2"/>
    <w:rsid w:val="00AE2DFD"/>
    <w:rsid w:val="00AE7C9C"/>
    <w:rsid w:val="00AF3B42"/>
    <w:rsid w:val="00AF3DE2"/>
    <w:rsid w:val="00AF3EB1"/>
    <w:rsid w:val="00B15EFD"/>
    <w:rsid w:val="00B1715D"/>
    <w:rsid w:val="00B33441"/>
    <w:rsid w:val="00B36537"/>
    <w:rsid w:val="00B369C7"/>
    <w:rsid w:val="00B4658A"/>
    <w:rsid w:val="00B46D7D"/>
    <w:rsid w:val="00B57D5B"/>
    <w:rsid w:val="00B73619"/>
    <w:rsid w:val="00B73B87"/>
    <w:rsid w:val="00B839A5"/>
    <w:rsid w:val="00B86828"/>
    <w:rsid w:val="00B87CA5"/>
    <w:rsid w:val="00B92883"/>
    <w:rsid w:val="00B93CDA"/>
    <w:rsid w:val="00B95D98"/>
    <w:rsid w:val="00B95E8E"/>
    <w:rsid w:val="00BB33AA"/>
    <w:rsid w:val="00BC7401"/>
    <w:rsid w:val="00BE02D2"/>
    <w:rsid w:val="00BE4393"/>
    <w:rsid w:val="00BE6B22"/>
    <w:rsid w:val="00BE6FCA"/>
    <w:rsid w:val="00C067D6"/>
    <w:rsid w:val="00C375BB"/>
    <w:rsid w:val="00C415B3"/>
    <w:rsid w:val="00C427CC"/>
    <w:rsid w:val="00C43FAC"/>
    <w:rsid w:val="00C45890"/>
    <w:rsid w:val="00C47E8B"/>
    <w:rsid w:val="00C50195"/>
    <w:rsid w:val="00C5057B"/>
    <w:rsid w:val="00C5215E"/>
    <w:rsid w:val="00C64821"/>
    <w:rsid w:val="00C81862"/>
    <w:rsid w:val="00C94D06"/>
    <w:rsid w:val="00CA5E16"/>
    <w:rsid w:val="00CB0966"/>
    <w:rsid w:val="00CB151B"/>
    <w:rsid w:val="00CB3546"/>
    <w:rsid w:val="00CC0C26"/>
    <w:rsid w:val="00CC24AD"/>
    <w:rsid w:val="00CD04ED"/>
    <w:rsid w:val="00CE1C7E"/>
    <w:rsid w:val="00CE4D5A"/>
    <w:rsid w:val="00D008E0"/>
    <w:rsid w:val="00D17031"/>
    <w:rsid w:val="00D26CC1"/>
    <w:rsid w:val="00D30763"/>
    <w:rsid w:val="00D4533F"/>
    <w:rsid w:val="00D568DF"/>
    <w:rsid w:val="00D724E1"/>
    <w:rsid w:val="00D748D2"/>
    <w:rsid w:val="00D8363D"/>
    <w:rsid w:val="00D86737"/>
    <w:rsid w:val="00D907E4"/>
    <w:rsid w:val="00D9456E"/>
    <w:rsid w:val="00D9540A"/>
    <w:rsid w:val="00DA4E71"/>
    <w:rsid w:val="00DB6FB5"/>
    <w:rsid w:val="00DC5744"/>
    <w:rsid w:val="00DC5F28"/>
    <w:rsid w:val="00DC7B57"/>
    <w:rsid w:val="00DE76C9"/>
    <w:rsid w:val="00DF5B1D"/>
    <w:rsid w:val="00E04543"/>
    <w:rsid w:val="00E147EB"/>
    <w:rsid w:val="00E14EC7"/>
    <w:rsid w:val="00E15D9C"/>
    <w:rsid w:val="00E160E6"/>
    <w:rsid w:val="00E165B5"/>
    <w:rsid w:val="00E42158"/>
    <w:rsid w:val="00E42F92"/>
    <w:rsid w:val="00E52623"/>
    <w:rsid w:val="00E526F6"/>
    <w:rsid w:val="00E53542"/>
    <w:rsid w:val="00E543E1"/>
    <w:rsid w:val="00E628A2"/>
    <w:rsid w:val="00E62E8F"/>
    <w:rsid w:val="00E80A1B"/>
    <w:rsid w:val="00E84B1D"/>
    <w:rsid w:val="00E8752D"/>
    <w:rsid w:val="00EA04D8"/>
    <w:rsid w:val="00EA5B78"/>
    <w:rsid w:val="00EB3D42"/>
    <w:rsid w:val="00EC16A5"/>
    <w:rsid w:val="00ED2CE6"/>
    <w:rsid w:val="00EF5427"/>
    <w:rsid w:val="00F00B44"/>
    <w:rsid w:val="00F02EC8"/>
    <w:rsid w:val="00F05243"/>
    <w:rsid w:val="00F06D6A"/>
    <w:rsid w:val="00F21B84"/>
    <w:rsid w:val="00F22359"/>
    <w:rsid w:val="00F323AF"/>
    <w:rsid w:val="00F34BE3"/>
    <w:rsid w:val="00F36E6E"/>
    <w:rsid w:val="00F44D26"/>
    <w:rsid w:val="00F460AE"/>
    <w:rsid w:val="00F47FC2"/>
    <w:rsid w:val="00F51373"/>
    <w:rsid w:val="00F60BCE"/>
    <w:rsid w:val="00F70603"/>
    <w:rsid w:val="00F80D1C"/>
    <w:rsid w:val="00F81CD6"/>
    <w:rsid w:val="00F81DBD"/>
    <w:rsid w:val="00F956EA"/>
    <w:rsid w:val="00FA27ED"/>
    <w:rsid w:val="00FA39FC"/>
    <w:rsid w:val="00FA713B"/>
    <w:rsid w:val="00FD1156"/>
    <w:rsid w:val="00FD234D"/>
    <w:rsid w:val="00FD4CF6"/>
    <w:rsid w:val="00FE6873"/>
    <w:rsid w:val="00FF2486"/>
    <w:rsid w:val="00FF3A71"/>
    <w:rsid w:val="00FF7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EE88"/>
  <w14:defaultImageDpi w14:val="32767"/>
  <w15:docId w15:val="{FC998BB2-F19B-5048-B5C2-35C4BE19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qFormat/>
    <w:rsid w:val="00DE76C9"/>
    <w:pPr>
      <w:spacing w:line="300" w:lineRule="atLeast"/>
    </w:pPr>
    <w:rPr>
      <w:rFonts w:ascii="Arial" w:eastAsia="Times New Roman" w:hAnsi="Arial" w:cs="Times New Roman"/>
      <w:sz w:val="22"/>
      <w:lang w:val="en-AU"/>
    </w:rPr>
  </w:style>
  <w:style w:type="paragraph" w:styleId="Heading1">
    <w:name w:val="heading 1"/>
    <w:basedOn w:val="Normal"/>
    <w:next w:val="Normal"/>
    <w:link w:val="Heading1Char"/>
    <w:uiPriority w:val="9"/>
    <w:qFormat/>
    <w:rsid w:val="00283A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0AC"/>
    <w:pPr>
      <w:spacing w:before="100" w:beforeAutospacing="1" w:after="100" w:afterAutospacing="1" w:line="240" w:lineRule="auto"/>
      <w:outlineLvl w:val="1"/>
    </w:pPr>
    <w:rPr>
      <w:rFonts w:ascii="Times New Roman" w:eastAsiaTheme="minorHAnsi" w:hAnsi="Times New Roman"/>
      <w:b/>
      <w:bCs/>
      <w:sz w:val="36"/>
      <w:szCs w:val="36"/>
      <w:lang w:val="en-GB" w:eastAsia="en-GB"/>
    </w:rPr>
  </w:style>
  <w:style w:type="paragraph" w:styleId="Heading3">
    <w:name w:val="heading 3"/>
    <w:basedOn w:val="Normal"/>
    <w:next w:val="Normal"/>
    <w:link w:val="Heading3Char"/>
    <w:uiPriority w:val="9"/>
    <w:semiHidden/>
    <w:unhideWhenUsed/>
    <w:qFormat/>
    <w:rsid w:val="00E526F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46761"/>
    <w:pPr>
      <w:numPr>
        <w:numId w:val="9"/>
      </w:numPr>
      <w:spacing w:before="120" w:after="120" w:line="269" w:lineRule="auto"/>
      <w:jc w:val="both"/>
    </w:pPr>
  </w:style>
  <w:style w:type="paragraph" w:customStyle="1" w:styleId="VLALetterText">
    <w:name w:val="VLA Letter Text"/>
    <w:uiPriority w:val="1"/>
    <w:qFormat/>
    <w:rsid w:val="0067377A"/>
    <w:pPr>
      <w:spacing w:after="120" w:line="300" w:lineRule="atLeast"/>
    </w:pPr>
    <w:rPr>
      <w:rFonts w:ascii="Arial" w:eastAsia="Times New Roman" w:hAnsi="Arial" w:cs="Times New Roman"/>
      <w:sz w:val="22"/>
      <w:lang w:val="en-AU"/>
    </w:rPr>
  </w:style>
  <w:style w:type="character" w:styleId="Hyperlink">
    <w:name w:val="Hyperlink"/>
    <w:basedOn w:val="DefaultParagraphFont"/>
    <w:semiHidden/>
    <w:rsid w:val="0067377A"/>
    <w:rPr>
      <w:color w:val="0000FF"/>
      <w:u w:val="single"/>
      <w:lang w:val="en-AU"/>
    </w:rPr>
  </w:style>
  <w:style w:type="paragraph" w:customStyle="1" w:styleId="VLALetterHeading">
    <w:name w:val="VLA Letter Heading"/>
    <w:next w:val="VLALetterText"/>
    <w:qFormat/>
    <w:rsid w:val="0067377A"/>
    <w:pPr>
      <w:keepNext/>
      <w:spacing w:after="200" w:line="300" w:lineRule="atLeast"/>
    </w:pPr>
    <w:rPr>
      <w:rFonts w:ascii="Arial" w:eastAsia="Times New Roman" w:hAnsi="Arial" w:cs="Times New Roman"/>
      <w:b/>
      <w:sz w:val="22"/>
      <w:lang w:val="en-AU"/>
    </w:rPr>
  </w:style>
  <w:style w:type="paragraph" w:styleId="FootnoteText">
    <w:name w:val="footnote text"/>
    <w:aliases w:val="single space Char,single space,Footnote reference,FA Fu,Footnote Text Char Char Char Char Char,Footnote Text Char Char Char Char,vFootnote Text,Footnote Text Char1,Footnote Text Char Char,Footnote Text Char1 Char Char,Footnote Text2"/>
    <w:basedOn w:val="Normal"/>
    <w:link w:val="FootnoteTextChar"/>
    <w:uiPriority w:val="99"/>
    <w:unhideWhenUsed/>
    <w:rsid w:val="000F5DEA"/>
    <w:pPr>
      <w:spacing w:line="240" w:lineRule="auto"/>
    </w:pPr>
    <w:rPr>
      <w:rFonts w:asciiTheme="minorHAnsi" w:eastAsiaTheme="minorHAnsi" w:hAnsiTheme="minorHAnsi" w:cstheme="minorBidi"/>
      <w:sz w:val="24"/>
      <w:lang w:val="en-GB"/>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1 Char,Footnote Text Char Char Char"/>
    <w:basedOn w:val="DefaultParagraphFont"/>
    <w:link w:val="FootnoteText"/>
    <w:uiPriority w:val="99"/>
    <w:rsid w:val="000F5DEA"/>
  </w:style>
  <w:style w:type="character" w:styleId="FootnoteReference">
    <w:name w:val="footnote reference"/>
    <w:aliases w:val="Footnotes refss"/>
    <w:basedOn w:val="DefaultParagraphFont"/>
    <w:uiPriority w:val="99"/>
    <w:unhideWhenUsed/>
    <w:qFormat/>
    <w:rsid w:val="000F5DEA"/>
    <w:rPr>
      <w:vertAlign w:val="superscript"/>
    </w:rPr>
  </w:style>
  <w:style w:type="paragraph" w:customStyle="1" w:styleId="Para-Indent">
    <w:name w:val="Para - Indent"/>
    <w:basedOn w:val="Normal"/>
    <w:uiPriority w:val="99"/>
    <w:rsid w:val="000F5DEA"/>
    <w:pPr>
      <w:widowControl w:val="0"/>
      <w:spacing w:line="480" w:lineRule="atLeast"/>
      <w:ind w:left="2160" w:hanging="720"/>
      <w:jc w:val="both"/>
    </w:pPr>
    <w:rPr>
      <w:rFonts w:ascii="Book Antiqua" w:hAnsi="Book Antiqua"/>
      <w:sz w:val="24"/>
      <w:szCs w:val="20"/>
    </w:rPr>
  </w:style>
  <w:style w:type="paragraph" w:styleId="Footer">
    <w:name w:val="footer"/>
    <w:basedOn w:val="Normal"/>
    <w:link w:val="FooterChar"/>
    <w:uiPriority w:val="99"/>
    <w:unhideWhenUsed/>
    <w:rsid w:val="00105FF3"/>
    <w:pPr>
      <w:tabs>
        <w:tab w:val="center" w:pos="4513"/>
        <w:tab w:val="right" w:pos="9026"/>
      </w:tabs>
      <w:spacing w:line="240" w:lineRule="auto"/>
    </w:pPr>
  </w:style>
  <w:style w:type="character" w:customStyle="1" w:styleId="FooterChar">
    <w:name w:val="Footer Char"/>
    <w:basedOn w:val="DefaultParagraphFont"/>
    <w:link w:val="Footer"/>
    <w:uiPriority w:val="99"/>
    <w:rsid w:val="00105FF3"/>
    <w:rPr>
      <w:rFonts w:ascii="Arial" w:eastAsia="Times New Roman" w:hAnsi="Arial" w:cs="Times New Roman"/>
      <w:sz w:val="22"/>
      <w:lang w:val="en-AU"/>
    </w:rPr>
  </w:style>
  <w:style w:type="character" w:styleId="PageNumber">
    <w:name w:val="page number"/>
    <w:basedOn w:val="DefaultParagraphFont"/>
    <w:uiPriority w:val="99"/>
    <w:semiHidden/>
    <w:unhideWhenUsed/>
    <w:rsid w:val="00105FF3"/>
  </w:style>
  <w:style w:type="character" w:customStyle="1" w:styleId="apple-converted-space">
    <w:name w:val="apple-converted-space"/>
    <w:basedOn w:val="DefaultParagraphFont"/>
    <w:rsid w:val="008B5808"/>
  </w:style>
  <w:style w:type="paragraph" w:styleId="NormalWeb">
    <w:name w:val="Normal (Web)"/>
    <w:basedOn w:val="Normal"/>
    <w:uiPriority w:val="99"/>
    <w:semiHidden/>
    <w:unhideWhenUsed/>
    <w:rsid w:val="008B5808"/>
    <w:pPr>
      <w:spacing w:before="100" w:beforeAutospacing="1" w:after="100" w:afterAutospacing="1" w:line="240" w:lineRule="auto"/>
    </w:pPr>
    <w:rPr>
      <w:rFonts w:ascii="Times New Roman" w:eastAsiaTheme="minorHAnsi" w:hAnsi="Times New Roman"/>
      <w:sz w:val="24"/>
      <w:lang w:val="en-GB" w:eastAsia="en-GB"/>
    </w:rPr>
  </w:style>
  <w:style w:type="character" w:customStyle="1" w:styleId="Heading2Char">
    <w:name w:val="Heading 2 Char"/>
    <w:basedOn w:val="DefaultParagraphFont"/>
    <w:link w:val="Heading2"/>
    <w:uiPriority w:val="9"/>
    <w:rsid w:val="006F30AC"/>
    <w:rPr>
      <w:rFonts w:ascii="Times New Roman" w:hAnsi="Times New Roman" w:cs="Times New Roman"/>
      <w:b/>
      <w:bCs/>
      <w:sz w:val="36"/>
      <w:szCs w:val="36"/>
      <w:lang w:eastAsia="en-GB"/>
    </w:rPr>
  </w:style>
  <w:style w:type="character" w:customStyle="1" w:styleId="bold">
    <w:name w:val="bold"/>
    <w:basedOn w:val="DefaultParagraphFont"/>
    <w:rsid w:val="00F81DBD"/>
  </w:style>
  <w:style w:type="paragraph" w:customStyle="1" w:styleId="TableContents">
    <w:name w:val="Table Contents"/>
    <w:basedOn w:val="Normal"/>
    <w:rsid w:val="008C53FB"/>
    <w:pPr>
      <w:widowControl w:val="0"/>
      <w:suppressLineNumbers/>
      <w:suppressAutoHyphens/>
      <w:spacing w:line="100" w:lineRule="atLeast"/>
    </w:pPr>
    <w:rPr>
      <w:rFonts w:ascii="Times New Roman" w:hAnsi="Times New Roman"/>
      <w:sz w:val="20"/>
      <w:szCs w:val="20"/>
      <w:lang w:val="en-GB" w:eastAsia="en-GB"/>
    </w:rPr>
  </w:style>
  <w:style w:type="character" w:customStyle="1" w:styleId="Mention1">
    <w:name w:val="Mention1"/>
    <w:basedOn w:val="DefaultParagraphFont"/>
    <w:uiPriority w:val="99"/>
    <w:semiHidden/>
    <w:unhideWhenUsed/>
    <w:rsid w:val="004A44DD"/>
    <w:rPr>
      <w:color w:val="2B579A"/>
      <w:shd w:val="clear" w:color="auto" w:fill="E6E6E6"/>
    </w:rPr>
  </w:style>
  <w:style w:type="character" w:styleId="CommentReference">
    <w:name w:val="annotation reference"/>
    <w:basedOn w:val="DefaultParagraphFont"/>
    <w:uiPriority w:val="99"/>
    <w:semiHidden/>
    <w:unhideWhenUsed/>
    <w:rsid w:val="00F22359"/>
    <w:rPr>
      <w:sz w:val="16"/>
      <w:szCs w:val="16"/>
    </w:rPr>
  </w:style>
  <w:style w:type="paragraph" w:styleId="CommentText">
    <w:name w:val="annotation text"/>
    <w:basedOn w:val="Normal"/>
    <w:link w:val="CommentTextChar"/>
    <w:uiPriority w:val="99"/>
    <w:semiHidden/>
    <w:unhideWhenUsed/>
    <w:rsid w:val="00F22359"/>
    <w:pPr>
      <w:spacing w:line="240" w:lineRule="auto"/>
    </w:pPr>
    <w:rPr>
      <w:sz w:val="20"/>
      <w:szCs w:val="20"/>
    </w:rPr>
  </w:style>
  <w:style w:type="character" w:customStyle="1" w:styleId="CommentTextChar">
    <w:name w:val="Comment Text Char"/>
    <w:basedOn w:val="DefaultParagraphFont"/>
    <w:link w:val="CommentText"/>
    <w:uiPriority w:val="99"/>
    <w:semiHidden/>
    <w:rsid w:val="00F22359"/>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22359"/>
    <w:rPr>
      <w:b/>
      <w:bCs/>
    </w:rPr>
  </w:style>
  <w:style w:type="character" w:customStyle="1" w:styleId="CommentSubjectChar">
    <w:name w:val="Comment Subject Char"/>
    <w:basedOn w:val="CommentTextChar"/>
    <w:link w:val="CommentSubject"/>
    <w:uiPriority w:val="99"/>
    <w:semiHidden/>
    <w:rsid w:val="00F22359"/>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F22359"/>
    <w:pPr>
      <w:spacing w:line="240" w:lineRule="auto"/>
    </w:pPr>
    <w:rPr>
      <w:rFonts w:cs="Arial"/>
      <w:sz w:val="18"/>
      <w:szCs w:val="18"/>
    </w:rPr>
  </w:style>
  <w:style w:type="character" w:customStyle="1" w:styleId="BalloonTextChar">
    <w:name w:val="Balloon Text Char"/>
    <w:basedOn w:val="DefaultParagraphFont"/>
    <w:link w:val="BalloonText"/>
    <w:uiPriority w:val="99"/>
    <w:semiHidden/>
    <w:rsid w:val="00F22359"/>
    <w:rPr>
      <w:rFonts w:ascii="Arial" w:eastAsia="Times New Roman" w:hAnsi="Arial" w:cs="Arial"/>
      <w:sz w:val="18"/>
      <w:szCs w:val="18"/>
      <w:lang w:val="en-AU"/>
    </w:rPr>
  </w:style>
  <w:style w:type="paragraph" w:styleId="EndnoteText">
    <w:name w:val="endnote text"/>
    <w:basedOn w:val="Normal"/>
    <w:link w:val="EndnoteTextChar"/>
    <w:uiPriority w:val="99"/>
    <w:semiHidden/>
    <w:unhideWhenUsed/>
    <w:rsid w:val="00F22359"/>
    <w:pPr>
      <w:spacing w:line="240" w:lineRule="auto"/>
    </w:pPr>
    <w:rPr>
      <w:sz w:val="20"/>
      <w:szCs w:val="20"/>
    </w:rPr>
  </w:style>
  <w:style w:type="character" w:customStyle="1" w:styleId="EndnoteTextChar">
    <w:name w:val="Endnote Text Char"/>
    <w:basedOn w:val="DefaultParagraphFont"/>
    <w:link w:val="EndnoteText"/>
    <w:uiPriority w:val="99"/>
    <w:semiHidden/>
    <w:rsid w:val="00F22359"/>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F22359"/>
    <w:rPr>
      <w:vertAlign w:val="superscript"/>
    </w:rPr>
  </w:style>
  <w:style w:type="character" w:customStyle="1" w:styleId="Mention2">
    <w:name w:val="Mention2"/>
    <w:basedOn w:val="DefaultParagraphFont"/>
    <w:uiPriority w:val="99"/>
    <w:semiHidden/>
    <w:unhideWhenUsed/>
    <w:rsid w:val="00365DB0"/>
    <w:rPr>
      <w:color w:val="2B579A"/>
      <w:shd w:val="clear" w:color="auto" w:fill="E6E6E6"/>
    </w:rPr>
  </w:style>
  <w:style w:type="character" w:customStyle="1" w:styleId="Heading3Char">
    <w:name w:val="Heading 3 Char"/>
    <w:basedOn w:val="DefaultParagraphFont"/>
    <w:link w:val="Heading3"/>
    <w:uiPriority w:val="9"/>
    <w:semiHidden/>
    <w:rsid w:val="00E526F6"/>
    <w:rPr>
      <w:rFonts w:asciiTheme="majorHAnsi" w:eastAsiaTheme="majorEastAsia" w:hAnsiTheme="majorHAnsi" w:cstheme="majorBidi"/>
      <w:color w:val="1F3763" w:themeColor="accent1" w:themeShade="7F"/>
      <w:lang w:val="en-AU"/>
    </w:rPr>
  </w:style>
  <w:style w:type="character" w:customStyle="1" w:styleId="UnresolvedMention1">
    <w:name w:val="Unresolved Mention1"/>
    <w:basedOn w:val="DefaultParagraphFont"/>
    <w:uiPriority w:val="99"/>
    <w:semiHidden/>
    <w:unhideWhenUsed/>
    <w:rsid w:val="00E526F6"/>
    <w:rPr>
      <w:color w:val="808080"/>
      <w:shd w:val="clear" w:color="auto" w:fill="E6E6E6"/>
    </w:rPr>
  </w:style>
  <w:style w:type="character" w:customStyle="1" w:styleId="m-3698674849266942774msofootnotereference">
    <w:name w:val="m_-3698674849266942774msofootnotereference"/>
    <w:basedOn w:val="DefaultParagraphFont"/>
    <w:rsid w:val="009D1ADE"/>
  </w:style>
  <w:style w:type="paragraph" w:customStyle="1" w:styleId="m-3698674849266942774msolistparagraph">
    <w:name w:val="m_-3698674849266942774msolistparagraph"/>
    <w:basedOn w:val="Normal"/>
    <w:rsid w:val="009D1ADE"/>
    <w:pPr>
      <w:spacing w:before="100" w:beforeAutospacing="1" w:after="100" w:afterAutospacing="1" w:line="240" w:lineRule="auto"/>
    </w:pPr>
    <w:rPr>
      <w:rFonts w:ascii="Times New Roman" w:hAnsi="Times New Roman"/>
      <w:sz w:val="24"/>
      <w:lang w:val="en-US"/>
    </w:rPr>
  </w:style>
  <w:style w:type="paragraph" w:customStyle="1" w:styleId="m-3698674849266942774default">
    <w:name w:val="m_-3698674849266942774default"/>
    <w:basedOn w:val="Normal"/>
    <w:rsid w:val="009D1ADE"/>
    <w:pPr>
      <w:spacing w:before="100" w:beforeAutospacing="1" w:after="100" w:afterAutospacing="1" w:line="240" w:lineRule="auto"/>
    </w:pPr>
    <w:rPr>
      <w:rFonts w:ascii="Times New Roman" w:hAnsi="Times New Roman"/>
      <w:sz w:val="24"/>
      <w:lang w:val="en-US"/>
    </w:rPr>
  </w:style>
  <w:style w:type="paragraph" w:customStyle="1" w:styleId="m-3698674849266942774msofootnotetext">
    <w:name w:val="m_-3698674849266942774msofootnotetext"/>
    <w:basedOn w:val="Normal"/>
    <w:rsid w:val="009D1ADE"/>
    <w:pPr>
      <w:spacing w:before="100" w:beforeAutospacing="1" w:after="100" w:afterAutospacing="1" w:line="240" w:lineRule="auto"/>
    </w:pPr>
    <w:rPr>
      <w:rFonts w:ascii="Times New Roman" w:hAnsi="Times New Roman"/>
      <w:sz w:val="24"/>
      <w:lang w:val="en-US"/>
    </w:rPr>
  </w:style>
  <w:style w:type="character" w:customStyle="1" w:styleId="UnresolvedMention2">
    <w:name w:val="Unresolved Mention2"/>
    <w:basedOn w:val="DefaultParagraphFont"/>
    <w:uiPriority w:val="99"/>
    <w:semiHidden/>
    <w:unhideWhenUsed/>
    <w:rsid w:val="00D724E1"/>
    <w:rPr>
      <w:color w:val="808080"/>
      <w:shd w:val="clear" w:color="auto" w:fill="E6E6E6"/>
    </w:rPr>
  </w:style>
  <w:style w:type="paragraph" w:styleId="Quote">
    <w:name w:val="Quote"/>
    <w:basedOn w:val="Normal"/>
    <w:next w:val="Normal"/>
    <w:link w:val="QuoteChar"/>
    <w:uiPriority w:val="29"/>
    <w:qFormat/>
    <w:rsid w:val="00C50195"/>
    <w:pPr>
      <w:spacing w:before="160" w:after="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50195"/>
    <w:rPr>
      <w:rFonts w:asciiTheme="majorHAnsi" w:eastAsiaTheme="majorEastAsia" w:hAnsiTheme="majorHAnsi" w:cstheme="majorBidi"/>
      <w:sz w:val="25"/>
      <w:szCs w:val="25"/>
      <w:lang w:val="en-AU"/>
    </w:rPr>
  </w:style>
  <w:style w:type="character" w:styleId="SubtleEmphasis">
    <w:name w:val="Subtle Emphasis"/>
    <w:basedOn w:val="DefaultParagraphFont"/>
    <w:uiPriority w:val="19"/>
    <w:qFormat/>
    <w:rsid w:val="00C50195"/>
    <w:rPr>
      <w:i/>
      <w:iCs/>
      <w:color w:val="595959" w:themeColor="text1" w:themeTint="A6"/>
    </w:rPr>
  </w:style>
  <w:style w:type="character" w:styleId="Strong">
    <w:name w:val="Strong"/>
    <w:basedOn w:val="DefaultParagraphFont"/>
    <w:uiPriority w:val="22"/>
    <w:qFormat/>
    <w:rsid w:val="00C50195"/>
    <w:rPr>
      <w:b/>
      <w:bCs/>
    </w:rPr>
  </w:style>
  <w:style w:type="character" w:customStyle="1" w:styleId="UnresolvedMention3">
    <w:name w:val="Unresolved Mention3"/>
    <w:basedOn w:val="DefaultParagraphFont"/>
    <w:uiPriority w:val="99"/>
    <w:rsid w:val="00434FEB"/>
    <w:rPr>
      <w:color w:val="808080"/>
      <w:shd w:val="clear" w:color="auto" w:fill="E6E6E6"/>
    </w:rPr>
  </w:style>
  <w:style w:type="character" w:customStyle="1" w:styleId="UnresolvedMention4">
    <w:name w:val="Unresolved Mention4"/>
    <w:basedOn w:val="DefaultParagraphFont"/>
    <w:uiPriority w:val="99"/>
    <w:semiHidden/>
    <w:unhideWhenUsed/>
    <w:rsid w:val="00967418"/>
    <w:rPr>
      <w:color w:val="808080"/>
      <w:shd w:val="clear" w:color="auto" w:fill="E6E6E6"/>
    </w:rPr>
  </w:style>
  <w:style w:type="character" w:customStyle="1" w:styleId="UnresolvedMention5">
    <w:name w:val="Unresolved Mention5"/>
    <w:basedOn w:val="DefaultParagraphFont"/>
    <w:uiPriority w:val="99"/>
    <w:semiHidden/>
    <w:unhideWhenUsed/>
    <w:rsid w:val="004F34FC"/>
    <w:rPr>
      <w:color w:val="605E5C"/>
      <w:shd w:val="clear" w:color="auto" w:fill="E1DFDD"/>
    </w:rPr>
  </w:style>
  <w:style w:type="paragraph" w:customStyle="1" w:styleId="Default">
    <w:name w:val="Default"/>
    <w:rsid w:val="000C3F25"/>
    <w:pPr>
      <w:autoSpaceDE w:val="0"/>
      <w:autoSpaceDN w:val="0"/>
      <w:adjustRightInd w:val="0"/>
    </w:pPr>
    <w:rPr>
      <w:rFonts w:ascii="HK Grotesk" w:hAnsi="HK Grotesk" w:cs="HK Grotesk"/>
      <w:color w:val="000000"/>
      <w:lang w:val="en-US"/>
    </w:rPr>
  </w:style>
  <w:style w:type="character" w:customStyle="1" w:styleId="Heading1Char">
    <w:name w:val="Heading 1 Char"/>
    <w:basedOn w:val="DefaultParagraphFont"/>
    <w:link w:val="Heading1"/>
    <w:uiPriority w:val="9"/>
    <w:rsid w:val="00283AAD"/>
    <w:rPr>
      <w:rFonts w:asciiTheme="majorHAnsi" w:eastAsiaTheme="majorEastAsia" w:hAnsiTheme="majorHAnsi" w:cstheme="majorBidi"/>
      <w:color w:val="2F5496" w:themeColor="accent1" w:themeShade="BF"/>
      <w:sz w:val="32"/>
      <w:szCs w:val="32"/>
      <w:lang w:val="en-AU"/>
    </w:rPr>
  </w:style>
  <w:style w:type="character" w:styleId="FollowedHyperlink">
    <w:name w:val="FollowedHyperlink"/>
    <w:basedOn w:val="DefaultParagraphFont"/>
    <w:uiPriority w:val="99"/>
    <w:semiHidden/>
    <w:unhideWhenUsed/>
    <w:rsid w:val="00EC16A5"/>
    <w:rPr>
      <w:color w:val="954F72" w:themeColor="followedHyperlink"/>
      <w:u w:val="single"/>
    </w:rPr>
  </w:style>
  <w:style w:type="paragraph" w:styleId="Header">
    <w:name w:val="header"/>
    <w:basedOn w:val="Normal"/>
    <w:link w:val="HeaderChar"/>
    <w:uiPriority w:val="99"/>
    <w:unhideWhenUsed/>
    <w:rsid w:val="007024AC"/>
    <w:pPr>
      <w:tabs>
        <w:tab w:val="center" w:pos="4680"/>
        <w:tab w:val="right" w:pos="9360"/>
      </w:tabs>
      <w:spacing w:line="240" w:lineRule="auto"/>
    </w:pPr>
  </w:style>
  <w:style w:type="character" w:customStyle="1" w:styleId="HeaderChar">
    <w:name w:val="Header Char"/>
    <w:basedOn w:val="DefaultParagraphFont"/>
    <w:link w:val="Header"/>
    <w:uiPriority w:val="99"/>
    <w:rsid w:val="007024AC"/>
    <w:rPr>
      <w:rFonts w:ascii="Arial" w:eastAsia="Times New Roman" w:hAnsi="Arial" w:cs="Times New Roman"/>
      <w:sz w:val="22"/>
      <w:lang w:val="en-AU"/>
    </w:rPr>
  </w:style>
  <w:style w:type="character" w:styleId="UnresolvedMention">
    <w:name w:val="Unresolved Mention"/>
    <w:basedOn w:val="DefaultParagraphFont"/>
    <w:uiPriority w:val="99"/>
    <w:semiHidden/>
    <w:unhideWhenUsed/>
    <w:rsid w:val="00E6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6551">
      <w:bodyDiv w:val="1"/>
      <w:marLeft w:val="0"/>
      <w:marRight w:val="0"/>
      <w:marTop w:val="0"/>
      <w:marBottom w:val="0"/>
      <w:divBdr>
        <w:top w:val="none" w:sz="0" w:space="0" w:color="auto"/>
        <w:left w:val="none" w:sz="0" w:space="0" w:color="auto"/>
        <w:bottom w:val="none" w:sz="0" w:space="0" w:color="auto"/>
        <w:right w:val="none" w:sz="0" w:space="0" w:color="auto"/>
      </w:divBdr>
    </w:div>
    <w:div w:id="100682787">
      <w:bodyDiv w:val="1"/>
      <w:marLeft w:val="0"/>
      <w:marRight w:val="0"/>
      <w:marTop w:val="0"/>
      <w:marBottom w:val="0"/>
      <w:divBdr>
        <w:top w:val="none" w:sz="0" w:space="0" w:color="auto"/>
        <w:left w:val="none" w:sz="0" w:space="0" w:color="auto"/>
        <w:bottom w:val="none" w:sz="0" w:space="0" w:color="auto"/>
        <w:right w:val="none" w:sz="0" w:space="0" w:color="auto"/>
      </w:divBdr>
    </w:div>
    <w:div w:id="191115058">
      <w:bodyDiv w:val="1"/>
      <w:marLeft w:val="0"/>
      <w:marRight w:val="0"/>
      <w:marTop w:val="0"/>
      <w:marBottom w:val="0"/>
      <w:divBdr>
        <w:top w:val="none" w:sz="0" w:space="0" w:color="auto"/>
        <w:left w:val="none" w:sz="0" w:space="0" w:color="auto"/>
        <w:bottom w:val="none" w:sz="0" w:space="0" w:color="auto"/>
        <w:right w:val="none" w:sz="0" w:space="0" w:color="auto"/>
      </w:divBdr>
    </w:div>
    <w:div w:id="208997795">
      <w:bodyDiv w:val="1"/>
      <w:marLeft w:val="0"/>
      <w:marRight w:val="0"/>
      <w:marTop w:val="0"/>
      <w:marBottom w:val="0"/>
      <w:divBdr>
        <w:top w:val="none" w:sz="0" w:space="0" w:color="auto"/>
        <w:left w:val="none" w:sz="0" w:space="0" w:color="auto"/>
        <w:bottom w:val="none" w:sz="0" w:space="0" w:color="auto"/>
        <w:right w:val="none" w:sz="0" w:space="0" w:color="auto"/>
      </w:divBdr>
    </w:div>
    <w:div w:id="244342699">
      <w:bodyDiv w:val="1"/>
      <w:marLeft w:val="0"/>
      <w:marRight w:val="0"/>
      <w:marTop w:val="0"/>
      <w:marBottom w:val="0"/>
      <w:divBdr>
        <w:top w:val="none" w:sz="0" w:space="0" w:color="auto"/>
        <w:left w:val="none" w:sz="0" w:space="0" w:color="auto"/>
        <w:bottom w:val="none" w:sz="0" w:space="0" w:color="auto"/>
        <w:right w:val="none" w:sz="0" w:space="0" w:color="auto"/>
      </w:divBdr>
    </w:div>
    <w:div w:id="382410160">
      <w:bodyDiv w:val="1"/>
      <w:marLeft w:val="0"/>
      <w:marRight w:val="0"/>
      <w:marTop w:val="0"/>
      <w:marBottom w:val="0"/>
      <w:divBdr>
        <w:top w:val="none" w:sz="0" w:space="0" w:color="auto"/>
        <w:left w:val="none" w:sz="0" w:space="0" w:color="auto"/>
        <w:bottom w:val="none" w:sz="0" w:space="0" w:color="auto"/>
        <w:right w:val="none" w:sz="0" w:space="0" w:color="auto"/>
      </w:divBdr>
    </w:div>
    <w:div w:id="515845162">
      <w:bodyDiv w:val="1"/>
      <w:marLeft w:val="0"/>
      <w:marRight w:val="0"/>
      <w:marTop w:val="0"/>
      <w:marBottom w:val="0"/>
      <w:divBdr>
        <w:top w:val="none" w:sz="0" w:space="0" w:color="auto"/>
        <w:left w:val="none" w:sz="0" w:space="0" w:color="auto"/>
        <w:bottom w:val="none" w:sz="0" w:space="0" w:color="auto"/>
        <w:right w:val="none" w:sz="0" w:space="0" w:color="auto"/>
      </w:divBdr>
    </w:div>
    <w:div w:id="528683452">
      <w:bodyDiv w:val="1"/>
      <w:marLeft w:val="0"/>
      <w:marRight w:val="0"/>
      <w:marTop w:val="0"/>
      <w:marBottom w:val="0"/>
      <w:divBdr>
        <w:top w:val="none" w:sz="0" w:space="0" w:color="auto"/>
        <w:left w:val="none" w:sz="0" w:space="0" w:color="auto"/>
        <w:bottom w:val="none" w:sz="0" w:space="0" w:color="auto"/>
        <w:right w:val="none" w:sz="0" w:space="0" w:color="auto"/>
      </w:divBdr>
    </w:div>
    <w:div w:id="548958530">
      <w:bodyDiv w:val="1"/>
      <w:marLeft w:val="0"/>
      <w:marRight w:val="0"/>
      <w:marTop w:val="0"/>
      <w:marBottom w:val="0"/>
      <w:divBdr>
        <w:top w:val="none" w:sz="0" w:space="0" w:color="auto"/>
        <w:left w:val="none" w:sz="0" w:space="0" w:color="auto"/>
        <w:bottom w:val="none" w:sz="0" w:space="0" w:color="auto"/>
        <w:right w:val="none" w:sz="0" w:space="0" w:color="auto"/>
      </w:divBdr>
    </w:div>
    <w:div w:id="714037641">
      <w:bodyDiv w:val="1"/>
      <w:marLeft w:val="0"/>
      <w:marRight w:val="0"/>
      <w:marTop w:val="0"/>
      <w:marBottom w:val="0"/>
      <w:divBdr>
        <w:top w:val="none" w:sz="0" w:space="0" w:color="auto"/>
        <w:left w:val="none" w:sz="0" w:space="0" w:color="auto"/>
        <w:bottom w:val="none" w:sz="0" w:space="0" w:color="auto"/>
        <w:right w:val="none" w:sz="0" w:space="0" w:color="auto"/>
      </w:divBdr>
    </w:div>
    <w:div w:id="801849395">
      <w:bodyDiv w:val="1"/>
      <w:marLeft w:val="0"/>
      <w:marRight w:val="0"/>
      <w:marTop w:val="0"/>
      <w:marBottom w:val="0"/>
      <w:divBdr>
        <w:top w:val="none" w:sz="0" w:space="0" w:color="auto"/>
        <w:left w:val="none" w:sz="0" w:space="0" w:color="auto"/>
        <w:bottom w:val="none" w:sz="0" w:space="0" w:color="auto"/>
        <w:right w:val="none" w:sz="0" w:space="0" w:color="auto"/>
      </w:divBdr>
      <w:divsChild>
        <w:div w:id="2074574641">
          <w:marLeft w:val="0"/>
          <w:marRight w:val="0"/>
          <w:marTop w:val="0"/>
          <w:marBottom w:val="0"/>
          <w:divBdr>
            <w:top w:val="none" w:sz="0" w:space="0" w:color="auto"/>
            <w:left w:val="none" w:sz="0" w:space="0" w:color="auto"/>
            <w:bottom w:val="none" w:sz="0" w:space="0" w:color="auto"/>
            <w:right w:val="none" w:sz="0" w:space="0" w:color="auto"/>
          </w:divBdr>
        </w:div>
        <w:div w:id="377779662">
          <w:marLeft w:val="0"/>
          <w:marRight w:val="0"/>
          <w:marTop w:val="0"/>
          <w:marBottom w:val="0"/>
          <w:divBdr>
            <w:top w:val="none" w:sz="0" w:space="0" w:color="auto"/>
            <w:left w:val="none" w:sz="0" w:space="0" w:color="auto"/>
            <w:bottom w:val="none" w:sz="0" w:space="0" w:color="auto"/>
            <w:right w:val="none" w:sz="0" w:space="0" w:color="auto"/>
          </w:divBdr>
        </w:div>
        <w:div w:id="80300685">
          <w:marLeft w:val="0"/>
          <w:marRight w:val="0"/>
          <w:marTop w:val="0"/>
          <w:marBottom w:val="0"/>
          <w:divBdr>
            <w:top w:val="none" w:sz="0" w:space="0" w:color="auto"/>
            <w:left w:val="none" w:sz="0" w:space="0" w:color="auto"/>
            <w:bottom w:val="none" w:sz="0" w:space="0" w:color="auto"/>
            <w:right w:val="none" w:sz="0" w:space="0" w:color="auto"/>
          </w:divBdr>
        </w:div>
        <w:div w:id="369499158">
          <w:marLeft w:val="0"/>
          <w:marRight w:val="0"/>
          <w:marTop w:val="0"/>
          <w:marBottom w:val="0"/>
          <w:divBdr>
            <w:top w:val="none" w:sz="0" w:space="0" w:color="auto"/>
            <w:left w:val="none" w:sz="0" w:space="0" w:color="auto"/>
            <w:bottom w:val="none" w:sz="0" w:space="0" w:color="auto"/>
            <w:right w:val="none" w:sz="0" w:space="0" w:color="auto"/>
          </w:divBdr>
        </w:div>
        <w:div w:id="1978953624">
          <w:marLeft w:val="0"/>
          <w:marRight w:val="0"/>
          <w:marTop w:val="0"/>
          <w:marBottom w:val="0"/>
          <w:divBdr>
            <w:top w:val="none" w:sz="0" w:space="0" w:color="auto"/>
            <w:left w:val="none" w:sz="0" w:space="0" w:color="auto"/>
            <w:bottom w:val="none" w:sz="0" w:space="0" w:color="auto"/>
            <w:right w:val="none" w:sz="0" w:space="0" w:color="auto"/>
          </w:divBdr>
        </w:div>
        <w:div w:id="1192917275">
          <w:marLeft w:val="0"/>
          <w:marRight w:val="0"/>
          <w:marTop w:val="0"/>
          <w:marBottom w:val="0"/>
          <w:divBdr>
            <w:top w:val="none" w:sz="0" w:space="0" w:color="auto"/>
            <w:left w:val="none" w:sz="0" w:space="0" w:color="auto"/>
            <w:bottom w:val="none" w:sz="0" w:space="0" w:color="auto"/>
            <w:right w:val="none" w:sz="0" w:space="0" w:color="auto"/>
          </w:divBdr>
        </w:div>
        <w:div w:id="719980917">
          <w:marLeft w:val="0"/>
          <w:marRight w:val="0"/>
          <w:marTop w:val="0"/>
          <w:marBottom w:val="0"/>
          <w:divBdr>
            <w:top w:val="none" w:sz="0" w:space="0" w:color="auto"/>
            <w:left w:val="none" w:sz="0" w:space="0" w:color="auto"/>
            <w:bottom w:val="none" w:sz="0" w:space="0" w:color="auto"/>
            <w:right w:val="none" w:sz="0" w:space="0" w:color="auto"/>
          </w:divBdr>
        </w:div>
        <w:div w:id="1445077932">
          <w:marLeft w:val="0"/>
          <w:marRight w:val="0"/>
          <w:marTop w:val="0"/>
          <w:marBottom w:val="0"/>
          <w:divBdr>
            <w:top w:val="none" w:sz="0" w:space="0" w:color="auto"/>
            <w:left w:val="none" w:sz="0" w:space="0" w:color="auto"/>
            <w:bottom w:val="none" w:sz="0" w:space="0" w:color="auto"/>
            <w:right w:val="none" w:sz="0" w:space="0" w:color="auto"/>
          </w:divBdr>
        </w:div>
        <w:div w:id="263659021">
          <w:marLeft w:val="0"/>
          <w:marRight w:val="0"/>
          <w:marTop w:val="0"/>
          <w:marBottom w:val="0"/>
          <w:divBdr>
            <w:top w:val="none" w:sz="0" w:space="0" w:color="auto"/>
            <w:left w:val="none" w:sz="0" w:space="0" w:color="auto"/>
            <w:bottom w:val="none" w:sz="0" w:space="0" w:color="auto"/>
            <w:right w:val="none" w:sz="0" w:space="0" w:color="auto"/>
          </w:divBdr>
        </w:div>
        <w:div w:id="1741053732">
          <w:marLeft w:val="0"/>
          <w:marRight w:val="0"/>
          <w:marTop w:val="0"/>
          <w:marBottom w:val="0"/>
          <w:divBdr>
            <w:top w:val="none" w:sz="0" w:space="0" w:color="auto"/>
            <w:left w:val="none" w:sz="0" w:space="0" w:color="auto"/>
            <w:bottom w:val="none" w:sz="0" w:space="0" w:color="auto"/>
            <w:right w:val="none" w:sz="0" w:space="0" w:color="auto"/>
          </w:divBdr>
        </w:div>
        <w:div w:id="29114101">
          <w:marLeft w:val="0"/>
          <w:marRight w:val="0"/>
          <w:marTop w:val="0"/>
          <w:marBottom w:val="0"/>
          <w:divBdr>
            <w:top w:val="none" w:sz="0" w:space="0" w:color="auto"/>
            <w:left w:val="none" w:sz="0" w:space="0" w:color="auto"/>
            <w:bottom w:val="none" w:sz="0" w:space="0" w:color="auto"/>
            <w:right w:val="none" w:sz="0" w:space="0" w:color="auto"/>
          </w:divBdr>
        </w:div>
        <w:div w:id="1780371094">
          <w:marLeft w:val="0"/>
          <w:marRight w:val="0"/>
          <w:marTop w:val="0"/>
          <w:marBottom w:val="0"/>
          <w:divBdr>
            <w:top w:val="none" w:sz="0" w:space="0" w:color="auto"/>
            <w:left w:val="none" w:sz="0" w:space="0" w:color="auto"/>
            <w:bottom w:val="none" w:sz="0" w:space="0" w:color="auto"/>
            <w:right w:val="none" w:sz="0" w:space="0" w:color="auto"/>
          </w:divBdr>
        </w:div>
        <w:div w:id="1834569869">
          <w:marLeft w:val="0"/>
          <w:marRight w:val="0"/>
          <w:marTop w:val="0"/>
          <w:marBottom w:val="0"/>
          <w:divBdr>
            <w:top w:val="none" w:sz="0" w:space="0" w:color="auto"/>
            <w:left w:val="none" w:sz="0" w:space="0" w:color="auto"/>
            <w:bottom w:val="none" w:sz="0" w:space="0" w:color="auto"/>
            <w:right w:val="none" w:sz="0" w:space="0" w:color="auto"/>
          </w:divBdr>
        </w:div>
        <w:div w:id="1631017181">
          <w:marLeft w:val="0"/>
          <w:marRight w:val="0"/>
          <w:marTop w:val="0"/>
          <w:marBottom w:val="0"/>
          <w:divBdr>
            <w:top w:val="none" w:sz="0" w:space="0" w:color="auto"/>
            <w:left w:val="none" w:sz="0" w:space="0" w:color="auto"/>
            <w:bottom w:val="none" w:sz="0" w:space="0" w:color="auto"/>
            <w:right w:val="none" w:sz="0" w:space="0" w:color="auto"/>
          </w:divBdr>
        </w:div>
        <w:div w:id="1178469189">
          <w:marLeft w:val="0"/>
          <w:marRight w:val="0"/>
          <w:marTop w:val="0"/>
          <w:marBottom w:val="0"/>
          <w:divBdr>
            <w:top w:val="none" w:sz="0" w:space="0" w:color="auto"/>
            <w:left w:val="none" w:sz="0" w:space="0" w:color="auto"/>
            <w:bottom w:val="none" w:sz="0" w:space="0" w:color="auto"/>
            <w:right w:val="none" w:sz="0" w:space="0" w:color="auto"/>
          </w:divBdr>
        </w:div>
        <w:div w:id="2100977685">
          <w:marLeft w:val="0"/>
          <w:marRight w:val="0"/>
          <w:marTop w:val="0"/>
          <w:marBottom w:val="0"/>
          <w:divBdr>
            <w:top w:val="none" w:sz="0" w:space="0" w:color="auto"/>
            <w:left w:val="none" w:sz="0" w:space="0" w:color="auto"/>
            <w:bottom w:val="none" w:sz="0" w:space="0" w:color="auto"/>
            <w:right w:val="none" w:sz="0" w:space="0" w:color="auto"/>
          </w:divBdr>
        </w:div>
        <w:div w:id="618880852">
          <w:marLeft w:val="0"/>
          <w:marRight w:val="0"/>
          <w:marTop w:val="0"/>
          <w:marBottom w:val="0"/>
          <w:divBdr>
            <w:top w:val="none" w:sz="0" w:space="0" w:color="auto"/>
            <w:left w:val="none" w:sz="0" w:space="0" w:color="auto"/>
            <w:bottom w:val="none" w:sz="0" w:space="0" w:color="auto"/>
            <w:right w:val="none" w:sz="0" w:space="0" w:color="auto"/>
          </w:divBdr>
        </w:div>
        <w:div w:id="1200244932">
          <w:marLeft w:val="0"/>
          <w:marRight w:val="0"/>
          <w:marTop w:val="0"/>
          <w:marBottom w:val="0"/>
          <w:divBdr>
            <w:top w:val="none" w:sz="0" w:space="0" w:color="auto"/>
            <w:left w:val="none" w:sz="0" w:space="0" w:color="auto"/>
            <w:bottom w:val="none" w:sz="0" w:space="0" w:color="auto"/>
            <w:right w:val="none" w:sz="0" w:space="0" w:color="auto"/>
          </w:divBdr>
        </w:div>
        <w:div w:id="309484071">
          <w:marLeft w:val="0"/>
          <w:marRight w:val="0"/>
          <w:marTop w:val="0"/>
          <w:marBottom w:val="0"/>
          <w:divBdr>
            <w:top w:val="none" w:sz="0" w:space="0" w:color="auto"/>
            <w:left w:val="none" w:sz="0" w:space="0" w:color="auto"/>
            <w:bottom w:val="none" w:sz="0" w:space="0" w:color="auto"/>
            <w:right w:val="none" w:sz="0" w:space="0" w:color="auto"/>
          </w:divBdr>
        </w:div>
        <w:div w:id="508567499">
          <w:marLeft w:val="0"/>
          <w:marRight w:val="0"/>
          <w:marTop w:val="0"/>
          <w:marBottom w:val="0"/>
          <w:divBdr>
            <w:top w:val="none" w:sz="0" w:space="0" w:color="auto"/>
            <w:left w:val="none" w:sz="0" w:space="0" w:color="auto"/>
            <w:bottom w:val="none" w:sz="0" w:space="0" w:color="auto"/>
            <w:right w:val="none" w:sz="0" w:space="0" w:color="auto"/>
          </w:divBdr>
          <w:divsChild>
            <w:div w:id="1738934457">
              <w:marLeft w:val="0"/>
              <w:marRight w:val="0"/>
              <w:marTop w:val="0"/>
              <w:marBottom w:val="0"/>
              <w:divBdr>
                <w:top w:val="none" w:sz="0" w:space="0" w:color="auto"/>
                <w:left w:val="none" w:sz="0" w:space="0" w:color="auto"/>
                <w:bottom w:val="none" w:sz="0" w:space="0" w:color="auto"/>
                <w:right w:val="none" w:sz="0" w:space="0" w:color="auto"/>
              </w:divBdr>
              <w:divsChild>
                <w:div w:id="399250750">
                  <w:marLeft w:val="0"/>
                  <w:marRight w:val="0"/>
                  <w:marTop w:val="0"/>
                  <w:marBottom w:val="0"/>
                  <w:divBdr>
                    <w:top w:val="none" w:sz="0" w:space="0" w:color="auto"/>
                    <w:left w:val="none" w:sz="0" w:space="0" w:color="auto"/>
                    <w:bottom w:val="none" w:sz="0" w:space="0" w:color="auto"/>
                    <w:right w:val="none" w:sz="0" w:space="0" w:color="auto"/>
                  </w:divBdr>
                  <w:divsChild>
                    <w:div w:id="9720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827">
              <w:marLeft w:val="0"/>
              <w:marRight w:val="0"/>
              <w:marTop w:val="0"/>
              <w:marBottom w:val="0"/>
              <w:divBdr>
                <w:top w:val="none" w:sz="0" w:space="0" w:color="auto"/>
                <w:left w:val="none" w:sz="0" w:space="0" w:color="auto"/>
                <w:bottom w:val="none" w:sz="0" w:space="0" w:color="auto"/>
                <w:right w:val="none" w:sz="0" w:space="0" w:color="auto"/>
              </w:divBdr>
              <w:divsChild>
                <w:div w:id="783501112">
                  <w:marLeft w:val="0"/>
                  <w:marRight w:val="0"/>
                  <w:marTop w:val="0"/>
                  <w:marBottom w:val="0"/>
                  <w:divBdr>
                    <w:top w:val="none" w:sz="0" w:space="0" w:color="auto"/>
                    <w:left w:val="none" w:sz="0" w:space="0" w:color="auto"/>
                    <w:bottom w:val="none" w:sz="0" w:space="0" w:color="auto"/>
                    <w:right w:val="none" w:sz="0" w:space="0" w:color="auto"/>
                  </w:divBdr>
                </w:div>
                <w:div w:id="982080523">
                  <w:marLeft w:val="0"/>
                  <w:marRight w:val="0"/>
                  <w:marTop w:val="0"/>
                  <w:marBottom w:val="0"/>
                  <w:divBdr>
                    <w:top w:val="none" w:sz="0" w:space="0" w:color="auto"/>
                    <w:left w:val="none" w:sz="0" w:space="0" w:color="auto"/>
                    <w:bottom w:val="none" w:sz="0" w:space="0" w:color="auto"/>
                    <w:right w:val="none" w:sz="0" w:space="0" w:color="auto"/>
                  </w:divBdr>
                </w:div>
                <w:div w:id="6039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9434">
      <w:bodyDiv w:val="1"/>
      <w:marLeft w:val="0"/>
      <w:marRight w:val="0"/>
      <w:marTop w:val="0"/>
      <w:marBottom w:val="0"/>
      <w:divBdr>
        <w:top w:val="none" w:sz="0" w:space="0" w:color="auto"/>
        <w:left w:val="none" w:sz="0" w:space="0" w:color="auto"/>
        <w:bottom w:val="none" w:sz="0" w:space="0" w:color="auto"/>
        <w:right w:val="none" w:sz="0" w:space="0" w:color="auto"/>
      </w:divBdr>
    </w:div>
    <w:div w:id="958951619">
      <w:bodyDiv w:val="1"/>
      <w:marLeft w:val="0"/>
      <w:marRight w:val="0"/>
      <w:marTop w:val="0"/>
      <w:marBottom w:val="0"/>
      <w:divBdr>
        <w:top w:val="none" w:sz="0" w:space="0" w:color="auto"/>
        <w:left w:val="none" w:sz="0" w:space="0" w:color="auto"/>
        <w:bottom w:val="none" w:sz="0" w:space="0" w:color="auto"/>
        <w:right w:val="none" w:sz="0" w:space="0" w:color="auto"/>
      </w:divBdr>
    </w:div>
    <w:div w:id="964890853">
      <w:bodyDiv w:val="1"/>
      <w:marLeft w:val="0"/>
      <w:marRight w:val="0"/>
      <w:marTop w:val="0"/>
      <w:marBottom w:val="0"/>
      <w:divBdr>
        <w:top w:val="none" w:sz="0" w:space="0" w:color="auto"/>
        <w:left w:val="none" w:sz="0" w:space="0" w:color="auto"/>
        <w:bottom w:val="none" w:sz="0" w:space="0" w:color="auto"/>
        <w:right w:val="none" w:sz="0" w:space="0" w:color="auto"/>
      </w:divBdr>
    </w:div>
    <w:div w:id="993950445">
      <w:bodyDiv w:val="1"/>
      <w:marLeft w:val="0"/>
      <w:marRight w:val="0"/>
      <w:marTop w:val="0"/>
      <w:marBottom w:val="0"/>
      <w:divBdr>
        <w:top w:val="none" w:sz="0" w:space="0" w:color="auto"/>
        <w:left w:val="none" w:sz="0" w:space="0" w:color="auto"/>
        <w:bottom w:val="none" w:sz="0" w:space="0" w:color="auto"/>
        <w:right w:val="none" w:sz="0" w:space="0" w:color="auto"/>
      </w:divBdr>
    </w:div>
    <w:div w:id="994069791">
      <w:bodyDiv w:val="1"/>
      <w:marLeft w:val="0"/>
      <w:marRight w:val="0"/>
      <w:marTop w:val="0"/>
      <w:marBottom w:val="0"/>
      <w:divBdr>
        <w:top w:val="none" w:sz="0" w:space="0" w:color="auto"/>
        <w:left w:val="none" w:sz="0" w:space="0" w:color="auto"/>
        <w:bottom w:val="none" w:sz="0" w:space="0" w:color="auto"/>
        <w:right w:val="none" w:sz="0" w:space="0" w:color="auto"/>
      </w:divBdr>
    </w:div>
    <w:div w:id="1114135007">
      <w:bodyDiv w:val="1"/>
      <w:marLeft w:val="0"/>
      <w:marRight w:val="0"/>
      <w:marTop w:val="0"/>
      <w:marBottom w:val="0"/>
      <w:divBdr>
        <w:top w:val="none" w:sz="0" w:space="0" w:color="auto"/>
        <w:left w:val="none" w:sz="0" w:space="0" w:color="auto"/>
        <w:bottom w:val="none" w:sz="0" w:space="0" w:color="auto"/>
        <w:right w:val="none" w:sz="0" w:space="0" w:color="auto"/>
      </w:divBdr>
    </w:div>
    <w:div w:id="1192113248">
      <w:bodyDiv w:val="1"/>
      <w:marLeft w:val="0"/>
      <w:marRight w:val="0"/>
      <w:marTop w:val="0"/>
      <w:marBottom w:val="0"/>
      <w:divBdr>
        <w:top w:val="none" w:sz="0" w:space="0" w:color="auto"/>
        <w:left w:val="none" w:sz="0" w:space="0" w:color="auto"/>
        <w:bottom w:val="none" w:sz="0" w:space="0" w:color="auto"/>
        <w:right w:val="none" w:sz="0" w:space="0" w:color="auto"/>
      </w:divBdr>
    </w:div>
    <w:div w:id="1195732135">
      <w:bodyDiv w:val="1"/>
      <w:marLeft w:val="0"/>
      <w:marRight w:val="0"/>
      <w:marTop w:val="0"/>
      <w:marBottom w:val="0"/>
      <w:divBdr>
        <w:top w:val="none" w:sz="0" w:space="0" w:color="auto"/>
        <w:left w:val="none" w:sz="0" w:space="0" w:color="auto"/>
        <w:bottom w:val="none" w:sz="0" w:space="0" w:color="auto"/>
        <w:right w:val="none" w:sz="0" w:space="0" w:color="auto"/>
      </w:divBdr>
    </w:div>
    <w:div w:id="1328826754">
      <w:bodyDiv w:val="1"/>
      <w:marLeft w:val="0"/>
      <w:marRight w:val="0"/>
      <w:marTop w:val="0"/>
      <w:marBottom w:val="0"/>
      <w:divBdr>
        <w:top w:val="none" w:sz="0" w:space="0" w:color="auto"/>
        <w:left w:val="none" w:sz="0" w:space="0" w:color="auto"/>
        <w:bottom w:val="none" w:sz="0" w:space="0" w:color="auto"/>
        <w:right w:val="none" w:sz="0" w:space="0" w:color="auto"/>
      </w:divBdr>
    </w:div>
    <w:div w:id="1435901481">
      <w:bodyDiv w:val="1"/>
      <w:marLeft w:val="0"/>
      <w:marRight w:val="0"/>
      <w:marTop w:val="0"/>
      <w:marBottom w:val="0"/>
      <w:divBdr>
        <w:top w:val="none" w:sz="0" w:space="0" w:color="auto"/>
        <w:left w:val="none" w:sz="0" w:space="0" w:color="auto"/>
        <w:bottom w:val="none" w:sz="0" w:space="0" w:color="auto"/>
        <w:right w:val="none" w:sz="0" w:space="0" w:color="auto"/>
      </w:divBdr>
    </w:div>
    <w:div w:id="1550802486">
      <w:bodyDiv w:val="1"/>
      <w:marLeft w:val="0"/>
      <w:marRight w:val="0"/>
      <w:marTop w:val="0"/>
      <w:marBottom w:val="0"/>
      <w:divBdr>
        <w:top w:val="none" w:sz="0" w:space="0" w:color="auto"/>
        <w:left w:val="none" w:sz="0" w:space="0" w:color="auto"/>
        <w:bottom w:val="none" w:sz="0" w:space="0" w:color="auto"/>
        <w:right w:val="none" w:sz="0" w:space="0" w:color="auto"/>
      </w:divBdr>
    </w:div>
    <w:div w:id="1624800726">
      <w:bodyDiv w:val="1"/>
      <w:marLeft w:val="0"/>
      <w:marRight w:val="0"/>
      <w:marTop w:val="0"/>
      <w:marBottom w:val="0"/>
      <w:divBdr>
        <w:top w:val="none" w:sz="0" w:space="0" w:color="auto"/>
        <w:left w:val="none" w:sz="0" w:space="0" w:color="auto"/>
        <w:bottom w:val="none" w:sz="0" w:space="0" w:color="auto"/>
        <w:right w:val="none" w:sz="0" w:space="0" w:color="auto"/>
      </w:divBdr>
    </w:div>
    <w:div w:id="1679312904">
      <w:bodyDiv w:val="1"/>
      <w:marLeft w:val="0"/>
      <w:marRight w:val="0"/>
      <w:marTop w:val="0"/>
      <w:marBottom w:val="0"/>
      <w:divBdr>
        <w:top w:val="none" w:sz="0" w:space="0" w:color="auto"/>
        <w:left w:val="none" w:sz="0" w:space="0" w:color="auto"/>
        <w:bottom w:val="none" w:sz="0" w:space="0" w:color="auto"/>
        <w:right w:val="none" w:sz="0" w:space="0" w:color="auto"/>
      </w:divBdr>
    </w:div>
    <w:div w:id="1962108590">
      <w:bodyDiv w:val="1"/>
      <w:marLeft w:val="0"/>
      <w:marRight w:val="0"/>
      <w:marTop w:val="0"/>
      <w:marBottom w:val="0"/>
      <w:divBdr>
        <w:top w:val="none" w:sz="0" w:space="0" w:color="auto"/>
        <w:left w:val="none" w:sz="0" w:space="0" w:color="auto"/>
        <w:bottom w:val="none" w:sz="0" w:space="0" w:color="auto"/>
        <w:right w:val="none" w:sz="0" w:space="0" w:color="auto"/>
      </w:divBdr>
    </w:div>
    <w:div w:id="2129082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RCenquiries@royalcommission.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our-responsibilities/settlement-services/programs-policy/settle-in-australia/help-with-english/free-interpret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14EB-50A1-4798-A202-572052B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Stanton</dc:creator>
  <cp:keywords/>
  <dc:description/>
  <cp:lastModifiedBy>Owner</cp:lastModifiedBy>
  <cp:revision>2</cp:revision>
  <cp:lastPrinted>2017-08-09T23:57:00Z</cp:lastPrinted>
  <dcterms:created xsi:type="dcterms:W3CDTF">2019-10-01T02:24:00Z</dcterms:created>
  <dcterms:modified xsi:type="dcterms:W3CDTF">2019-10-01T02:24:00Z</dcterms:modified>
</cp:coreProperties>
</file>