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59A0" w14:textId="3382B02B" w:rsidR="00C25DE0" w:rsidRDefault="00ED18C8" w:rsidP="00B817BE">
      <w:pPr>
        <w:jc w:val="center"/>
        <w:rPr>
          <w:rFonts w:ascii="Book Antiqua" w:hAnsi="Book Antiqua"/>
          <w:b/>
          <w:bCs/>
          <w:sz w:val="24"/>
          <w:szCs w:val="24"/>
          <w:lang w:val="en-US"/>
        </w:rPr>
      </w:pPr>
      <w:r>
        <w:rPr>
          <w:rFonts w:ascii="Book Antiqua" w:hAnsi="Book Antiqua"/>
          <w:b/>
          <w:bCs/>
          <w:sz w:val="24"/>
          <w:szCs w:val="24"/>
          <w:lang w:val="en-US"/>
        </w:rPr>
        <w:t xml:space="preserve">Statement on </w:t>
      </w:r>
      <w:r w:rsidR="005F686B">
        <w:rPr>
          <w:rFonts w:ascii="Book Antiqua" w:hAnsi="Book Antiqua"/>
          <w:b/>
          <w:bCs/>
          <w:sz w:val="24"/>
          <w:szCs w:val="24"/>
          <w:lang w:val="en-US"/>
        </w:rPr>
        <w:t>E</w:t>
      </w:r>
      <w:r>
        <w:rPr>
          <w:rFonts w:ascii="Book Antiqua" w:hAnsi="Book Antiqua"/>
          <w:b/>
          <w:bCs/>
          <w:sz w:val="24"/>
          <w:szCs w:val="24"/>
          <w:lang w:val="en-US"/>
        </w:rPr>
        <w:t>ntrapment</w:t>
      </w:r>
    </w:p>
    <w:p w14:paraId="6D57CAE2" w14:textId="0C6A288F" w:rsidR="00ED18C8" w:rsidRDefault="00ED18C8" w:rsidP="00ED18C8">
      <w:pPr>
        <w:jc w:val="both"/>
        <w:rPr>
          <w:rFonts w:ascii="Book Antiqua" w:hAnsi="Book Antiqua"/>
          <w:sz w:val="24"/>
          <w:szCs w:val="24"/>
          <w:lang w:val="en-US"/>
        </w:rPr>
      </w:pPr>
      <w:r>
        <w:rPr>
          <w:rFonts w:ascii="Book Antiqua" w:hAnsi="Book Antiqua"/>
          <w:sz w:val="24"/>
          <w:szCs w:val="24"/>
          <w:lang w:val="en-US"/>
        </w:rPr>
        <w:t>The criminal law in Victoria</w:t>
      </w:r>
      <w:r w:rsidR="005F14B9">
        <w:rPr>
          <w:rFonts w:ascii="Book Antiqua" w:hAnsi="Book Antiqua"/>
          <w:sz w:val="24"/>
          <w:szCs w:val="24"/>
          <w:lang w:val="en-US"/>
        </w:rPr>
        <w:t xml:space="preserve">, and </w:t>
      </w:r>
      <w:r w:rsidR="001C36E3">
        <w:rPr>
          <w:rFonts w:ascii="Book Antiqua" w:hAnsi="Book Antiqua"/>
          <w:sz w:val="24"/>
          <w:szCs w:val="24"/>
          <w:lang w:val="en-US"/>
        </w:rPr>
        <w:t xml:space="preserve">in </w:t>
      </w:r>
      <w:r w:rsidR="005F14B9">
        <w:rPr>
          <w:rFonts w:ascii="Book Antiqua" w:hAnsi="Book Antiqua"/>
          <w:sz w:val="24"/>
          <w:szCs w:val="24"/>
          <w:lang w:val="en-US"/>
        </w:rPr>
        <w:t>Australia more broadly,</w:t>
      </w:r>
      <w:r>
        <w:rPr>
          <w:rFonts w:ascii="Book Antiqua" w:hAnsi="Book Antiqua"/>
          <w:sz w:val="24"/>
          <w:szCs w:val="24"/>
          <w:lang w:val="en-US"/>
        </w:rPr>
        <w:t xml:space="preserve"> does not </w:t>
      </w:r>
      <w:proofErr w:type="spellStart"/>
      <w:r>
        <w:rPr>
          <w:rFonts w:ascii="Book Antiqua" w:hAnsi="Book Antiqua"/>
          <w:sz w:val="24"/>
          <w:szCs w:val="24"/>
          <w:lang w:val="en-US"/>
        </w:rPr>
        <w:t>recogni</w:t>
      </w:r>
      <w:r w:rsidR="00D35CDD">
        <w:rPr>
          <w:rFonts w:ascii="Book Antiqua" w:hAnsi="Book Antiqua"/>
          <w:sz w:val="24"/>
          <w:szCs w:val="24"/>
          <w:lang w:val="en-US"/>
        </w:rPr>
        <w:t>s</w:t>
      </w:r>
      <w:r>
        <w:rPr>
          <w:rFonts w:ascii="Book Antiqua" w:hAnsi="Book Antiqua"/>
          <w:sz w:val="24"/>
          <w:szCs w:val="24"/>
          <w:lang w:val="en-US"/>
        </w:rPr>
        <w:t>e</w:t>
      </w:r>
      <w:proofErr w:type="spellEnd"/>
      <w:r>
        <w:rPr>
          <w:rFonts w:ascii="Book Antiqua" w:hAnsi="Book Antiqua"/>
          <w:sz w:val="24"/>
          <w:szCs w:val="24"/>
          <w:lang w:val="en-US"/>
        </w:rPr>
        <w:t xml:space="preserve"> entrapment as a</w:t>
      </w:r>
      <w:r w:rsidR="00861FAB">
        <w:rPr>
          <w:rFonts w:ascii="Book Antiqua" w:hAnsi="Book Antiqua"/>
          <w:sz w:val="24"/>
          <w:szCs w:val="24"/>
          <w:lang w:val="en-US"/>
        </w:rPr>
        <w:t xml:space="preserve"> </w:t>
      </w:r>
      <w:r>
        <w:rPr>
          <w:rFonts w:ascii="Book Antiqua" w:hAnsi="Book Antiqua"/>
          <w:sz w:val="24"/>
          <w:szCs w:val="24"/>
          <w:lang w:val="en-US"/>
        </w:rPr>
        <w:t xml:space="preserve">legal </w:t>
      </w:r>
      <w:proofErr w:type="spellStart"/>
      <w:r>
        <w:rPr>
          <w:rFonts w:ascii="Book Antiqua" w:hAnsi="Book Antiqua"/>
          <w:sz w:val="24"/>
          <w:szCs w:val="24"/>
          <w:lang w:val="en-US"/>
        </w:rPr>
        <w:t>defence</w:t>
      </w:r>
      <w:proofErr w:type="spellEnd"/>
      <w:r>
        <w:rPr>
          <w:rFonts w:ascii="Book Antiqua" w:hAnsi="Book Antiqua"/>
          <w:sz w:val="24"/>
          <w:szCs w:val="24"/>
          <w:lang w:val="en-US"/>
        </w:rPr>
        <w:t>.</w:t>
      </w:r>
      <w:r w:rsidR="005F686B">
        <w:rPr>
          <w:rStyle w:val="FootnoteReference"/>
          <w:rFonts w:ascii="Book Antiqua" w:hAnsi="Book Antiqua"/>
          <w:sz w:val="24"/>
          <w:szCs w:val="24"/>
          <w:lang w:val="en-US"/>
        </w:rPr>
        <w:footnoteReference w:id="1"/>
      </w:r>
      <w:r>
        <w:rPr>
          <w:rFonts w:ascii="Book Antiqua" w:hAnsi="Book Antiqua"/>
          <w:sz w:val="24"/>
          <w:szCs w:val="24"/>
          <w:lang w:val="en-US"/>
        </w:rPr>
        <w:t xml:space="preserve"> This is a situation which must be remedied immediately </w:t>
      </w:r>
      <w:proofErr w:type="gramStart"/>
      <w:r w:rsidR="009C6317">
        <w:rPr>
          <w:rFonts w:ascii="Book Antiqua" w:hAnsi="Book Antiqua"/>
          <w:sz w:val="24"/>
          <w:szCs w:val="24"/>
          <w:lang w:val="en-US"/>
        </w:rPr>
        <w:t xml:space="preserve">in order </w:t>
      </w:r>
      <w:r>
        <w:rPr>
          <w:rFonts w:ascii="Book Antiqua" w:hAnsi="Book Antiqua"/>
          <w:sz w:val="24"/>
          <w:szCs w:val="24"/>
          <w:lang w:val="en-US"/>
        </w:rPr>
        <w:t>to</w:t>
      </w:r>
      <w:proofErr w:type="gramEnd"/>
      <w:r>
        <w:rPr>
          <w:rFonts w:ascii="Book Antiqua" w:hAnsi="Book Antiqua"/>
          <w:sz w:val="24"/>
          <w:szCs w:val="24"/>
          <w:lang w:val="en-US"/>
        </w:rPr>
        <w:t xml:space="preserve"> avoid</w:t>
      </w:r>
      <w:r w:rsidR="006D2C4A">
        <w:rPr>
          <w:rFonts w:ascii="Book Antiqua" w:hAnsi="Book Antiqua"/>
          <w:sz w:val="24"/>
          <w:szCs w:val="24"/>
          <w:lang w:val="en-US"/>
        </w:rPr>
        <w:t xml:space="preserve"> the</w:t>
      </w:r>
      <w:r>
        <w:rPr>
          <w:rFonts w:ascii="Book Antiqua" w:hAnsi="Book Antiqua"/>
          <w:sz w:val="24"/>
          <w:szCs w:val="24"/>
          <w:lang w:val="en-US"/>
        </w:rPr>
        <w:t xml:space="preserve"> ongoing exploitation of some of our most vulnerable community members and to avoid the commission of further crimes.</w:t>
      </w:r>
    </w:p>
    <w:p w14:paraId="36E9828B" w14:textId="57B8CFE9" w:rsidR="00ED18C8" w:rsidRDefault="00ED18C8" w:rsidP="00ED18C8">
      <w:pPr>
        <w:jc w:val="both"/>
        <w:rPr>
          <w:rFonts w:ascii="Book Antiqua" w:hAnsi="Book Antiqua"/>
          <w:sz w:val="24"/>
          <w:szCs w:val="24"/>
          <w:lang w:val="en-US"/>
        </w:rPr>
      </w:pPr>
      <w:r>
        <w:rPr>
          <w:rFonts w:ascii="Book Antiqua" w:hAnsi="Book Antiqua"/>
          <w:sz w:val="24"/>
          <w:szCs w:val="24"/>
          <w:lang w:val="en-US"/>
        </w:rPr>
        <w:t xml:space="preserve">The issue has been highlighted recently </w:t>
      </w:r>
      <w:proofErr w:type="gramStart"/>
      <w:r>
        <w:rPr>
          <w:rFonts w:ascii="Book Antiqua" w:hAnsi="Book Antiqua"/>
          <w:sz w:val="24"/>
          <w:szCs w:val="24"/>
          <w:lang w:val="en-US"/>
        </w:rPr>
        <w:t>as a result of</w:t>
      </w:r>
      <w:proofErr w:type="gramEnd"/>
      <w:r>
        <w:rPr>
          <w:rFonts w:ascii="Book Antiqua" w:hAnsi="Book Antiqua"/>
          <w:sz w:val="24"/>
          <w:szCs w:val="24"/>
          <w:lang w:val="en-US"/>
        </w:rPr>
        <w:t xml:space="preserve"> a Children’s Court decision</w:t>
      </w:r>
      <w:r>
        <w:rPr>
          <w:rStyle w:val="FootnoteReference"/>
          <w:rFonts w:ascii="Book Antiqua" w:hAnsi="Book Antiqua"/>
          <w:sz w:val="24"/>
          <w:szCs w:val="24"/>
          <w:lang w:val="en-US"/>
        </w:rPr>
        <w:footnoteReference w:id="2"/>
      </w:r>
      <w:r>
        <w:rPr>
          <w:rFonts w:ascii="Book Antiqua" w:hAnsi="Book Antiqua"/>
          <w:sz w:val="24"/>
          <w:szCs w:val="24"/>
          <w:lang w:val="en-US"/>
        </w:rPr>
        <w:t xml:space="preserve"> to permanently stay a prosecution against a child who was</w:t>
      </w:r>
      <w:r w:rsidR="00E54015">
        <w:rPr>
          <w:rFonts w:ascii="Book Antiqua" w:hAnsi="Book Antiqua"/>
          <w:sz w:val="24"/>
          <w:szCs w:val="24"/>
          <w:lang w:val="en-US"/>
        </w:rPr>
        <w:t xml:space="preserve"> only</w:t>
      </w:r>
      <w:r>
        <w:rPr>
          <w:rFonts w:ascii="Book Antiqua" w:hAnsi="Book Antiqua"/>
          <w:sz w:val="24"/>
          <w:szCs w:val="24"/>
          <w:lang w:val="en-US"/>
        </w:rPr>
        <w:t xml:space="preserve"> 13 when undercover police commenced an operation targeting him under the auspices of a rehabilitative intervention.</w:t>
      </w:r>
    </w:p>
    <w:p w14:paraId="0B7AB937" w14:textId="5782DA0C" w:rsidR="00ED18C8" w:rsidRDefault="00ED18C8" w:rsidP="00ED18C8">
      <w:pPr>
        <w:jc w:val="both"/>
        <w:rPr>
          <w:rFonts w:ascii="Book Antiqua" w:hAnsi="Book Antiqua"/>
          <w:sz w:val="24"/>
          <w:szCs w:val="24"/>
          <w:lang w:val="en-US"/>
        </w:rPr>
      </w:pPr>
      <w:r>
        <w:rPr>
          <w:rFonts w:ascii="Book Antiqua" w:hAnsi="Book Antiqua"/>
          <w:sz w:val="24"/>
          <w:szCs w:val="24"/>
          <w:lang w:val="en-US"/>
        </w:rPr>
        <w:t xml:space="preserve">In that case the Magistrate found the conduct of law enforcement – which included conduct likely to further </w:t>
      </w:r>
      <w:proofErr w:type="spellStart"/>
      <w:r>
        <w:rPr>
          <w:rFonts w:ascii="Book Antiqua" w:hAnsi="Book Antiqua"/>
          <w:sz w:val="24"/>
          <w:szCs w:val="24"/>
          <w:lang w:val="en-US"/>
        </w:rPr>
        <w:t>radicali</w:t>
      </w:r>
      <w:r w:rsidR="00D35CDD">
        <w:rPr>
          <w:rFonts w:ascii="Book Antiqua" w:hAnsi="Book Antiqua"/>
          <w:sz w:val="24"/>
          <w:szCs w:val="24"/>
          <w:lang w:val="en-US"/>
        </w:rPr>
        <w:t>s</w:t>
      </w:r>
      <w:r>
        <w:rPr>
          <w:rFonts w:ascii="Book Antiqua" w:hAnsi="Book Antiqua"/>
          <w:sz w:val="24"/>
          <w:szCs w:val="24"/>
          <w:lang w:val="en-US"/>
        </w:rPr>
        <w:t>e</w:t>
      </w:r>
      <w:proofErr w:type="spellEnd"/>
      <w:r>
        <w:rPr>
          <w:rFonts w:ascii="Book Antiqua" w:hAnsi="Book Antiqua"/>
          <w:sz w:val="24"/>
          <w:szCs w:val="24"/>
          <w:lang w:val="en-US"/>
        </w:rPr>
        <w:t xml:space="preserve"> a vulnerable child towards violent extremism – fell so far </w:t>
      </w:r>
      <w:r w:rsidR="00D35CDD">
        <w:rPr>
          <w:rFonts w:ascii="Book Antiqua" w:hAnsi="Book Antiqua"/>
          <w:sz w:val="24"/>
          <w:szCs w:val="24"/>
          <w:lang w:val="en-US"/>
        </w:rPr>
        <w:t xml:space="preserve">short </w:t>
      </w:r>
      <w:r>
        <w:rPr>
          <w:rFonts w:ascii="Book Antiqua" w:hAnsi="Book Antiqua"/>
          <w:sz w:val="24"/>
          <w:szCs w:val="24"/>
          <w:lang w:val="en-US"/>
        </w:rPr>
        <w:t xml:space="preserve">of the standard expected by the community as to require judicial intervention to </w:t>
      </w:r>
      <w:r w:rsidR="00B446CE">
        <w:rPr>
          <w:rFonts w:ascii="Book Antiqua" w:hAnsi="Book Antiqua"/>
          <w:sz w:val="24"/>
          <w:szCs w:val="24"/>
          <w:lang w:val="en-US"/>
        </w:rPr>
        <w:t xml:space="preserve">permanently </w:t>
      </w:r>
      <w:r>
        <w:rPr>
          <w:rFonts w:ascii="Book Antiqua" w:hAnsi="Book Antiqua"/>
          <w:sz w:val="24"/>
          <w:szCs w:val="24"/>
          <w:lang w:val="en-US"/>
        </w:rPr>
        <w:t>end the proceeding.</w:t>
      </w:r>
    </w:p>
    <w:p w14:paraId="65DE4217" w14:textId="123B73E5" w:rsidR="00ED18C8" w:rsidRDefault="00ED18C8" w:rsidP="00ED18C8">
      <w:pPr>
        <w:jc w:val="both"/>
        <w:rPr>
          <w:rFonts w:ascii="Book Antiqua" w:hAnsi="Book Antiqua"/>
          <w:sz w:val="24"/>
          <w:szCs w:val="24"/>
          <w:lang w:val="en-US"/>
        </w:rPr>
      </w:pPr>
      <w:r>
        <w:rPr>
          <w:rFonts w:ascii="Book Antiqua" w:hAnsi="Book Antiqua"/>
          <w:sz w:val="24"/>
          <w:szCs w:val="24"/>
          <w:lang w:val="en-US"/>
        </w:rPr>
        <w:t xml:space="preserve">It is the role of law enforcement to try to reduce the instances of crime by enforcing the law and disrupting criminal conduct where possible. It should not be a function of law enforcement to </w:t>
      </w:r>
      <w:r w:rsidR="00AB3FC2">
        <w:rPr>
          <w:rFonts w:ascii="Book Antiqua" w:hAnsi="Book Antiqua"/>
          <w:sz w:val="24"/>
          <w:szCs w:val="24"/>
          <w:lang w:val="en-US"/>
        </w:rPr>
        <w:t xml:space="preserve">induce or otherwise </w:t>
      </w:r>
      <w:r>
        <w:rPr>
          <w:rFonts w:ascii="Book Antiqua" w:hAnsi="Book Antiqua"/>
          <w:sz w:val="24"/>
          <w:szCs w:val="24"/>
          <w:lang w:val="en-US"/>
        </w:rPr>
        <w:t xml:space="preserve">cause crimes to be committed. </w:t>
      </w:r>
    </w:p>
    <w:p w14:paraId="3438CBB3" w14:textId="1B3D6E4E" w:rsidR="00ED18C8" w:rsidRDefault="00ED18C8" w:rsidP="00ED18C8">
      <w:pPr>
        <w:jc w:val="both"/>
        <w:rPr>
          <w:rFonts w:ascii="Book Antiqua" w:hAnsi="Book Antiqua"/>
          <w:sz w:val="24"/>
          <w:szCs w:val="24"/>
          <w:lang w:val="en-US"/>
        </w:rPr>
      </w:pPr>
      <w:r>
        <w:rPr>
          <w:rFonts w:ascii="Book Antiqua" w:hAnsi="Book Antiqua"/>
          <w:sz w:val="24"/>
          <w:szCs w:val="24"/>
          <w:lang w:val="en-US"/>
        </w:rPr>
        <w:t xml:space="preserve">Targeted operations </w:t>
      </w:r>
      <w:r w:rsidR="00AB3FC2">
        <w:rPr>
          <w:rFonts w:ascii="Book Antiqua" w:hAnsi="Book Antiqua"/>
          <w:sz w:val="24"/>
          <w:szCs w:val="24"/>
          <w:lang w:val="en-US"/>
        </w:rPr>
        <w:t xml:space="preserve">regularly </w:t>
      </w:r>
      <w:r>
        <w:rPr>
          <w:rFonts w:ascii="Book Antiqua" w:hAnsi="Book Antiqua"/>
          <w:sz w:val="24"/>
          <w:szCs w:val="24"/>
          <w:lang w:val="en-US"/>
        </w:rPr>
        <w:t xml:space="preserve">have the effect of causing offences to be committed </w:t>
      </w:r>
      <w:r w:rsidR="00AB3FC2">
        <w:rPr>
          <w:rFonts w:ascii="Book Antiqua" w:hAnsi="Book Antiqua"/>
          <w:sz w:val="24"/>
          <w:szCs w:val="24"/>
          <w:lang w:val="en-US"/>
        </w:rPr>
        <w:t xml:space="preserve">that </w:t>
      </w:r>
      <w:r>
        <w:rPr>
          <w:rFonts w:ascii="Book Antiqua" w:hAnsi="Book Antiqua"/>
          <w:sz w:val="24"/>
          <w:szCs w:val="24"/>
          <w:lang w:val="en-US"/>
        </w:rPr>
        <w:t>otherwise would not have</w:t>
      </w:r>
      <w:r w:rsidR="00AB3FC2">
        <w:rPr>
          <w:rFonts w:ascii="Book Antiqua" w:hAnsi="Book Antiqua"/>
          <w:sz w:val="24"/>
          <w:szCs w:val="24"/>
          <w:lang w:val="en-US"/>
        </w:rPr>
        <w:t xml:space="preserve"> occurred</w:t>
      </w:r>
      <w:r>
        <w:rPr>
          <w:rFonts w:ascii="Book Antiqua" w:hAnsi="Book Antiqua"/>
          <w:sz w:val="24"/>
          <w:szCs w:val="24"/>
          <w:lang w:val="en-US"/>
        </w:rPr>
        <w:t xml:space="preserve">.  This can range from sales of drugs to undercover </w:t>
      </w:r>
      <w:r>
        <w:rPr>
          <w:rFonts w:ascii="Book Antiqua" w:hAnsi="Book Antiqua"/>
          <w:sz w:val="24"/>
          <w:szCs w:val="24"/>
          <w:lang w:val="en-US"/>
        </w:rPr>
        <w:lastRenderedPageBreak/>
        <w:t>operatives to – like the abovementioned example</w:t>
      </w:r>
      <w:r w:rsidR="00547C2B">
        <w:rPr>
          <w:rFonts w:ascii="Book Antiqua" w:hAnsi="Book Antiqua"/>
          <w:sz w:val="24"/>
          <w:szCs w:val="24"/>
          <w:lang w:val="en-US"/>
        </w:rPr>
        <w:t xml:space="preserve"> - </w:t>
      </w:r>
      <w:r>
        <w:rPr>
          <w:rFonts w:ascii="Book Antiqua" w:hAnsi="Book Antiqua"/>
          <w:sz w:val="24"/>
          <w:szCs w:val="24"/>
          <w:lang w:val="en-US"/>
        </w:rPr>
        <w:t xml:space="preserve">causing a </w:t>
      </w:r>
      <w:proofErr w:type="gramStart"/>
      <w:r>
        <w:rPr>
          <w:rFonts w:ascii="Book Antiqua" w:hAnsi="Book Antiqua"/>
          <w:sz w:val="24"/>
          <w:szCs w:val="24"/>
          <w:lang w:val="en-US"/>
        </w:rPr>
        <w:t>vulnerable  child</w:t>
      </w:r>
      <w:proofErr w:type="gramEnd"/>
      <w:r>
        <w:rPr>
          <w:rFonts w:ascii="Book Antiqua" w:hAnsi="Book Antiqua"/>
          <w:sz w:val="24"/>
          <w:szCs w:val="24"/>
          <w:lang w:val="en-US"/>
        </w:rPr>
        <w:t xml:space="preserve"> to discuss with an undercover operative violent extremism and terrorism.</w:t>
      </w:r>
    </w:p>
    <w:p w14:paraId="439E432A" w14:textId="77777777" w:rsidR="000E4B94" w:rsidRDefault="000E4B94" w:rsidP="00ED18C8">
      <w:pPr>
        <w:jc w:val="both"/>
        <w:rPr>
          <w:rFonts w:ascii="Book Antiqua" w:hAnsi="Book Antiqua"/>
          <w:sz w:val="24"/>
          <w:szCs w:val="24"/>
          <w:lang w:val="en-US"/>
        </w:rPr>
      </w:pPr>
      <w:r w:rsidRPr="000E4B94">
        <w:rPr>
          <w:rFonts w:ascii="Book Antiqua" w:hAnsi="Book Antiqua"/>
          <w:sz w:val="24"/>
          <w:szCs w:val="24"/>
          <w:lang w:val="en-US"/>
        </w:rPr>
        <w:t>The Carrick matter illustrates the dangers of this conduct – drawing a lonely child with a low IQ, autism and a tendency for fixation and steering him towards ideas involving racial hatred, distrust of police and violence. </w:t>
      </w:r>
      <w:r w:rsidR="00274965">
        <w:rPr>
          <w:rFonts w:ascii="Book Antiqua" w:hAnsi="Book Antiqua"/>
          <w:sz w:val="24"/>
          <w:szCs w:val="24"/>
          <w:lang w:val="en-US"/>
        </w:rPr>
        <w:t xml:space="preserve"> It cannot be that such conduct by law enforcement makes us safer as a community – quite the opposite.</w:t>
      </w:r>
      <w:r w:rsidR="00D35CDD">
        <w:rPr>
          <w:rFonts w:ascii="Book Antiqua" w:hAnsi="Book Antiqua"/>
          <w:sz w:val="24"/>
          <w:szCs w:val="24"/>
          <w:lang w:val="en-US"/>
        </w:rPr>
        <w:t xml:space="preserve"> </w:t>
      </w:r>
    </w:p>
    <w:p w14:paraId="5701165D" w14:textId="384B80F0" w:rsidR="00ED18C8" w:rsidRDefault="00D35CDD" w:rsidP="00ED18C8">
      <w:pPr>
        <w:jc w:val="both"/>
        <w:rPr>
          <w:rFonts w:ascii="Book Antiqua" w:hAnsi="Book Antiqua"/>
          <w:sz w:val="24"/>
          <w:szCs w:val="24"/>
          <w:lang w:val="en-US"/>
        </w:rPr>
      </w:pPr>
      <w:r>
        <w:rPr>
          <w:rFonts w:ascii="Book Antiqua" w:hAnsi="Book Antiqua"/>
          <w:sz w:val="24"/>
          <w:szCs w:val="24"/>
          <w:lang w:val="en-US"/>
        </w:rPr>
        <w:t>A particularly egregious part of the conduct of the Australian Federal Police in the case of the young child was that the child’s parents had gone to police for help. However, their trust in police would have been destroyed and any positive impact that could have been had was immediately undone when the undercover officer started to communicate with the child. It is also concerning that for future cases parents may now be too scared to go to police for help.</w:t>
      </w:r>
    </w:p>
    <w:p w14:paraId="073DC77B" w14:textId="33DDA77C" w:rsidR="00274965" w:rsidRDefault="00274965" w:rsidP="00ED18C8">
      <w:pPr>
        <w:jc w:val="both"/>
        <w:rPr>
          <w:rFonts w:ascii="Book Antiqua" w:hAnsi="Book Antiqua"/>
          <w:sz w:val="24"/>
          <w:szCs w:val="24"/>
          <w:lang w:val="en-US"/>
        </w:rPr>
      </w:pPr>
      <w:r>
        <w:rPr>
          <w:rFonts w:ascii="Book Antiqua" w:hAnsi="Book Antiqua"/>
          <w:sz w:val="24"/>
          <w:szCs w:val="24"/>
          <w:lang w:val="en-US"/>
        </w:rPr>
        <w:t>It raises the further issue of community engagement and ‘de-</w:t>
      </w:r>
      <w:proofErr w:type="spellStart"/>
      <w:r>
        <w:rPr>
          <w:rFonts w:ascii="Book Antiqua" w:hAnsi="Book Antiqua"/>
          <w:sz w:val="24"/>
          <w:szCs w:val="24"/>
          <w:lang w:val="en-US"/>
        </w:rPr>
        <w:t>radicalisation</w:t>
      </w:r>
      <w:proofErr w:type="spellEnd"/>
      <w:r>
        <w:rPr>
          <w:rFonts w:ascii="Book Antiqua" w:hAnsi="Book Antiqua"/>
          <w:sz w:val="24"/>
          <w:szCs w:val="24"/>
          <w:lang w:val="en-US"/>
        </w:rPr>
        <w:t>’ programs. For such measures to work there needs to be trust within the community that they will not be betrayed by law enforcement. Families who need and want help must be able to seek it knowing they will not live to regret doing so.</w:t>
      </w:r>
    </w:p>
    <w:p w14:paraId="12BD0630" w14:textId="682E3284" w:rsidR="00826E9E" w:rsidRDefault="00826E9E" w:rsidP="00ED18C8">
      <w:pPr>
        <w:jc w:val="both"/>
        <w:rPr>
          <w:rFonts w:ascii="Book Antiqua" w:hAnsi="Book Antiqua"/>
          <w:sz w:val="24"/>
          <w:szCs w:val="24"/>
          <w:lang w:val="en-US"/>
        </w:rPr>
      </w:pPr>
      <w:r>
        <w:rPr>
          <w:rFonts w:ascii="Book Antiqua" w:hAnsi="Book Antiqua"/>
          <w:sz w:val="24"/>
          <w:szCs w:val="24"/>
          <w:lang w:val="en-US"/>
        </w:rPr>
        <w:t xml:space="preserve">There have been other examples of concerning conduct by undercover operatives, where prosecuting authorities have conceded that, but for the police conduct, </w:t>
      </w:r>
      <w:r w:rsidR="00B46B98">
        <w:rPr>
          <w:rFonts w:ascii="Book Antiqua" w:hAnsi="Book Antiqua"/>
          <w:sz w:val="24"/>
          <w:szCs w:val="24"/>
          <w:lang w:val="en-US"/>
        </w:rPr>
        <w:t xml:space="preserve">it is likely </w:t>
      </w:r>
      <w:r w:rsidR="00300221">
        <w:rPr>
          <w:rFonts w:ascii="Book Antiqua" w:hAnsi="Book Antiqua"/>
          <w:sz w:val="24"/>
          <w:szCs w:val="24"/>
          <w:lang w:val="en-US"/>
        </w:rPr>
        <w:t xml:space="preserve">that </w:t>
      </w:r>
      <w:r>
        <w:rPr>
          <w:rFonts w:ascii="Book Antiqua" w:hAnsi="Book Antiqua"/>
          <w:sz w:val="24"/>
          <w:szCs w:val="24"/>
          <w:lang w:val="en-US"/>
        </w:rPr>
        <w:t>the offence would not have been commit</w:t>
      </w:r>
      <w:r w:rsidR="00D35CDD">
        <w:rPr>
          <w:rFonts w:ascii="Book Antiqua" w:hAnsi="Book Antiqua"/>
          <w:sz w:val="24"/>
          <w:szCs w:val="24"/>
          <w:lang w:val="en-US"/>
        </w:rPr>
        <w:t>t</w:t>
      </w:r>
      <w:r>
        <w:rPr>
          <w:rFonts w:ascii="Book Antiqua" w:hAnsi="Book Antiqua"/>
          <w:sz w:val="24"/>
          <w:szCs w:val="24"/>
          <w:lang w:val="en-US"/>
        </w:rPr>
        <w:t>ed.</w:t>
      </w:r>
      <w:r>
        <w:rPr>
          <w:rStyle w:val="FootnoteReference"/>
          <w:rFonts w:ascii="Book Antiqua" w:hAnsi="Book Antiqua"/>
          <w:sz w:val="24"/>
          <w:szCs w:val="24"/>
          <w:lang w:val="en-US"/>
        </w:rPr>
        <w:footnoteReference w:id="3"/>
      </w:r>
    </w:p>
    <w:p w14:paraId="127B1698" w14:textId="22D7E008" w:rsidR="00274965" w:rsidRDefault="00274965" w:rsidP="00ED18C8">
      <w:pPr>
        <w:jc w:val="both"/>
        <w:rPr>
          <w:rFonts w:ascii="Book Antiqua" w:hAnsi="Book Antiqua"/>
          <w:sz w:val="24"/>
          <w:szCs w:val="24"/>
          <w:lang w:val="en-US"/>
        </w:rPr>
      </w:pPr>
      <w:r>
        <w:rPr>
          <w:rFonts w:ascii="Book Antiqua" w:hAnsi="Book Antiqua"/>
          <w:sz w:val="24"/>
          <w:szCs w:val="24"/>
          <w:lang w:val="en-US"/>
        </w:rPr>
        <w:lastRenderedPageBreak/>
        <w:t xml:space="preserve">The Australian Federal Police have indicated they are conducting an inquiry into the </w:t>
      </w:r>
      <w:r>
        <w:rPr>
          <w:rFonts w:ascii="Book Antiqua" w:hAnsi="Book Antiqua"/>
          <w:i/>
          <w:iCs/>
          <w:sz w:val="24"/>
          <w:szCs w:val="24"/>
          <w:lang w:val="en-US"/>
        </w:rPr>
        <w:t xml:space="preserve">Carrick </w:t>
      </w:r>
      <w:r>
        <w:rPr>
          <w:rFonts w:ascii="Book Antiqua" w:hAnsi="Book Antiqua"/>
          <w:sz w:val="24"/>
          <w:szCs w:val="24"/>
          <w:lang w:val="en-US"/>
        </w:rPr>
        <w:t xml:space="preserve">matter. </w:t>
      </w:r>
      <w:r w:rsidR="00D35CDD">
        <w:rPr>
          <w:rFonts w:ascii="Book Antiqua" w:hAnsi="Book Antiqua"/>
          <w:sz w:val="24"/>
          <w:szCs w:val="24"/>
          <w:lang w:val="en-US"/>
        </w:rPr>
        <w:t xml:space="preserve">It is extremely concerning that despite the criticism in </w:t>
      </w:r>
      <w:r w:rsidR="00D35CDD">
        <w:rPr>
          <w:rFonts w:ascii="Book Antiqua" w:hAnsi="Book Antiqua"/>
          <w:i/>
          <w:iCs/>
          <w:sz w:val="24"/>
          <w:szCs w:val="24"/>
          <w:lang w:val="en-US"/>
        </w:rPr>
        <w:t>Carrick</w:t>
      </w:r>
      <w:r w:rsidR="00D35CDD">
        <w:rPr>
          <w:rFonts w:ascii="Book Antiqua" w:hAnsi="Book Antiqua"/>
          <w:sz w:val="24"/>
          <w:szCs w:val="24"/>
          <w:lang w:val="en-US"/>
        </w:rPr>
        <w:t xml:space="preserve">, Deputy Commissioner Ian McCartney, who </w:t>
      </w:r>
      <w:proofErr w:type="spellStart"/>
      <w:r w:rsidR="00D35CDD">
        <w:rPr>
          <w:rFonts w:ascii="Book Antiqua" w:hAnsi="Book Antiqua"/>
          <w:sz w:val="24"/>
          <w:szCs w:val="24"/>
          <w:lang w:val="en-US"/>
        </w:rPr>
        <w:t>authorised</w:t>
      </w:r>
      <w:proofErr w:type="spellEnd"/>
      <w:r w:rsidR="00D35CDD">
        <w:rPr>
          <w:rFonts w:ascii="Book Antiqua" w:hAnsi="Book Antiqua"/>
          <w:sz w:val="24"/>
          <w:szCs w:val="24"/>
          <w:lang w:val="en-US"/>
        </w:rPr>
        <w:t xml:space="preserve"> the undercover operation at issue in </w:t>
      </w:r>
      <w:r w:rsidR="00D35CDD">
        <w:rPr>
          <w:rFonts w:ascii="Book Antiqua" w:hAnsi="Book Antiqua"/>
          <w:i/>
          <w:iCs/>
          <w:sz w:val="24"/>
          <w:szCs w:val="24"/>
          <w:lang w:val="en-US"/>
        </w:rPr>
        <w:t>Carrick</w:t>
      </w:r>
      <w:r w:rsidR="00D35CDD">
        <w:rPr>
          <w:rFonts w:ascii="Book Antiqua" w:hAnsi="Book Antiqua"/>
          <w:sz w:val="24"/>
          <w:szCs w:val="24"/>
          <w:lang w:val="en-US"/>
        </w:rPr>
        <w:t>,</w:t>
      </w:r>
      <w:r w:rsidR="00D35CDD">
        <w:rPr>
          <w:rFonts w:ascii="Book Antiqua" w:hAnsi="Book Antiqua"/>
          <w:i/>
          <w:iCs/>
          <w:sz w:val="24"/>
          <w:szCs w:val="24"/>
          <w:lang w:val="en-US"/>
        </w:rPr>
        <w:t xml:space="preserve"> </w:t>
      </w:r>
      <w:r w:rsidR="00D35CDD">
        <w:rPr>
          <w:rFonts w:ascii="Book Antiqua" w:hAnsi="Book Antiqua"/>
          <w:sz w:val="24"/>
          <w:szCs w:val="24"/>
          <w:lang w:val="en-US"/>
        </w:rPr>
        <w:t xml:space="preserve">told Senate estimates that he would </w:t>
      </w:r>
      <w:proofErr w:type="spellStart"/>
      <w:r w:rsidR="00D35CDD">
        <w:rPr>
          <w:rFonts w:ascii="Book Antiqua" w:hAnsi="Book Antiqua"/>
          <w:sz w:val="24"/>
          <w:szCs w:val="24"/>
          <w:lang w:val="en-US"/>
        </w:rPr>
        <w:t>authorise</w:t>
      </w:r>
      <w:proofErr w:type="spellEnd"/>
      <w:r w:rsidR="00D35CDD">
        <w:rPr>
          <w:rFonts w:ascii="Book Antiqua" w:hAnsi="Book Antiqua"/>
          <w:sz w:val="24"/>
          <w:szCs w:val="24"/>
          <w:lang w:val="en-US"/>
        </w:rPr>
        <w:t xml:space="preserve"> the same operation in the same circumstances again.</w:t>
      </w:r>
      <w:r w:rsidR="00D35CDD">
        <w:rPr>
          <w:rStyle w:val="FootnoteReference"/>
          <w:rFonts w:ascii="Book Antiqua" w:hAnsi="Book Antiqua"/>
          <w:sz w:val="24"/>
          <w:szCs w:val="24"/>
          <w:lang w:val="en-US"/>
        </w:rPr>
        <w:footnoteReference w:id="4"/>
      </w:r>
      <w:r w:rsidR="00D35CDD">
        <w:rPr>
          <w:rFonts w:ascii="Book Antiqua" w:hAnsi="Book Antiqua"/>
          <w:i/>
          <w:iCs/>
          <w:sz w:val="24"/>
          <w:szCs w:val="24"/>
          <w:lang w:val="en-US"/>
        </w:rPr>
        <w:t xml:space="preserve"> </w:t>
      </w:r>
      <w:r w:rsidR="00AA707D">
        <w:rPr>
          <w:rFonts w:ascii="Book Antiqua" w:hAnsi="Book Antiqua"/>
          <w:sz w:val="24"/>
          <w:szCs w:val="24"/>
          <w:lang w:val="en-US"/>
        </w:rPr>
        <w:t xml:space="preserve">That evidence to Senate Estimate calls into question </w:t>
      </w:r>
      <w:r w:rsidR="00DB450B">
        <w:rPr>
          <w:rFonts w:ascii="Book Antiqua" w:hAnsi="Book Antiqua"/>
          <w:sz w:val="24"/>
          <w:szCs w:val="24"/>
          <w:lang w:val="en-US"/>
        </w:rPr>
        <w:t xml:space="preserve">whether </w:t>
      </w:r>
      <w:r w:rsidR="00AA707D">
        <w:rPr>
          <w:rFonts w:ascii="Book Antiqua" w:hAnsi="Book Antiqua"/>
          <w:sz w:val="24"/>
          <w:szCs w:val="24"/>
          <w:lang w:val="en-US"/>
        </w:rPr>
        <w:t xml:space="preserve">the </w:t>
      </w:r>
      <w:proofErr w:type="spellStart"/>
      <w:r w:rsidR="00AA707D">
        <w:rPr>
          <w:rFonts w:ascii="Book Antiqua" w:hAnsi="Book Antiqua"/>
          <w:sz w:val="24"/>
          <w:szCs w:val="24"/>
          <w:lang w:val="en-US"/>
        </w:rPr>
        <w:t>the</w:t>
      </w:r>
      <w:proofErr w:type="spellEnd"/>
      <w:r w:rsidR="00AA707D">
        <w:rPr>
          <w:rFonts w:ascii="Book Antiqua" w:hAnsi="Book Antiqua"/>
          <w:sz w:val="24"/>
          <w:szCs w:val="24"/>
          <w:lang w:val="en-US"/>
        </w:rPr>
        <w:t xml:space="preserve"> Australian Federal Police inquiry will be a foregone conclusion. </w:t>
      </w:r>
      <w:r>
        <w:rPr>
          <w:rFonts w:ascii="Book Antiqua" w:hAnsi="Book Antiqua"/>
          <w:sz w:val="24"/>
          <w:szCs w:val="24"/>
          <w:lang w:val="en-US"/>
        </w:rPr>
        <w:t xml:space="preserve">We call upon the Federal Government to create an independent inquiry into not simply that matter but </w:t>
      </w:r>
      <w:r w:rsidR="004F34E9">
        <w:rPr>
          <w:rFonts w:ascii="Book Antiqua" w:hAnsi="Book Antiqua"/>
          <w:sz w:val="24"/>
          <w:szCs w:val="24"/>
          <w:lang w:val="en-US"/>
        </w:rPr>
        <w:t xml:space="preserve">more broadly into </w:t>
      </w:r>
      <w:r>
        <w:rPr>
          <w:rFonts w:ascii="Book Antiqua" w:hAnsi="Book Antiqua"/>
          <w:sz w:val="24"/>
          <w:szCs w:val="24"/>
          <w:lang w:val="en-US"/>
        </w:rPr>
        <w:t>the issues of entrapment and law enforcement engagement with the community</w:t>
      </w:r>
      <w:r w:rsidR="009D4E2E">
        <w:rPr>
          <w:rFonts w:ascii="Book Antiqua" w:hAnsi="Book Antiqua"/>
          <w:sz w:val="24"/>
          <w:szCs w:val="24"/>
          <w:lang w:val="en-US"/>
        </w:rPr>
        <w:t>.</w:t>
      </w:r>
    </w:p>
    <w:p w14:paraId="040C7AA5" w14:textId="1176F1F1" w:rsidR="00274965" w:rsidRPr="00274965" w:rsidRDefault="00274965" w:rsidP="00ED18C8">
      <w:pPr>
        <w:jc w:val="both"/>
        <w:rPr>
          <w:rFonts w:ascii="Book Antiqua" w:hAnsi="Book Antiqua"/>
          <w:sz w:val="24"/>
          <w:szCs w:val="24"/>
          <w:lang w:val="en-US"/>
        </w:rPr>
      </w:pPr>
      <w:r>
        <w:rPr>
          <w:rFonts w:ascii="Book Antiqua" w:hAnsi="Book Antiqua"/>
          <w:sz w:val="24"/>
          <w:szCs w:val="24"/>
          <w:lang w:val="en-US"/>
        </w:rPr>
        <w:t>To do so will be a positive step towards keeping our community safe and protecting the rights of all community members – including, importantly the most vulnerable.</w:t>
      </w:r>
    </w:p>
    <w:sectPr w:rsidR="00274965" w:rsidRPr="002749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27A8A" w14:textId="77777777" w:rsidR="004922C2" w:rsidRDefault="004922C2" w:rsidP="00ED18C8">
      <w:pPr>
        <w:spacing w:after="0" w:line="240" w:lineRule="auto"/>
      </w:pPr>
      <w:r>
        <w:separator/>
      </w:r>
    </w:p>
  </w:endnote>
  <w:endnote w:type="continuationSeparator" w:id="0">
    <w:p w14:paraId="350C81FE" w14:textId="77777777" w:rsidR="004922C2" w:rsidRDefault="004922C2" w:rsidP="00E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0535" w14:textId="77777777" w:rsidR="004922C2" w:rsidRDefault="004922C2" w:rsidP="00ED18C8">
      <w:pPr>
        <w:spacing w:after="0" w:line="240" w:lineRule="auto"/>
      </w:pPr>
      <w:r>
        <w:separator/>
      </w:r>
    </w:p>
  </w:footnote>
  <w:footnote w:type="continuationSeparator" w:id="0">
    <w:p w14:paraId="183E4925" w14:textId="77777777" w:rsidR="004922C2" w:rsidRDefault="004922C2" w:rsidP="00ED18C8">
      <w:pPr>
        <w:spacing w:after="0" w:line="240" w:lineRule="auto"/>
      </w:pPr>
      <w:r>
        <w:continuationSeparator/>
      </w:r>
    </w:p>
  </w:footnote>
  <w:footnote w:id="1">
    <w:p w14:paraId="3CD6B542" w14:textId="1E17884A" w:rsidR="005F686B" w:rsidRPr="00B817BE" w:rsidRDefault="005F686B">
      <w:pPr>
        <w:pStyle w:val="FootnoteText"/>
        <w:rPr>
          <w:rFonts w:ascii="Book Antiqua" w:hAnsi="Book Antiqua"/>
        </w:rPr>
      </w:pPr>
      <w:r w:rsidRPr="00B817BE">
        <w:rPr>
          <w:rStyle w:val="FootnoteReference"/>
          <w:rFonts w:ascii="Book Antiqua" w:hAnsi="Book Antiqua"/>
        </w:rPr>
        <w:footnoteRef/>
      </w:r>
      <w:r w:rsidRPr="00B817BE">
        <w:rPr>
          <w:rFonts w:ascii="Book Antiqua" w:hAnsi="Book Antiqua"/>
        </w:rPr>
        <w:t xml:space="preserve"> In some circumstances inducement to commit a criminal offence can be a basis to seek the discretionary exclusion of evidence; </w:t>
      </w:r>
      <w:r w:rsidRPr="00B817BE">
        <w:rPr>
          <w:rFonts w:ascii="Book Antiqua" w:hAnsi="Book Antiqua"/>
          <w:i/>
          <w:iCs/>
        </w:rPr>
        <w:t>Ridgeway v The Queen</w:t>
      </w:r>
      <w:r w:rsidRPr="00B817BE">
        <w:rPr>
          <w:rFonts w:ascii="Book Antiqua" w:hAnsi="Book Antiqua"/>
        </w:rPr>
        <w:t xml:space="preserve"> (1995) 184 CLR 19. See also the protections against inducement in Part IAB of the </w:t>
      </w:r>
      <w:r w:rsidRPr="00B817BE">
        <w:rPr>
          <w:rFonts w:ascii="Book Antiqua" w:hAnsi="Book Antiqua"/>
          <w:i/>
          <w:iCs/>
        </w:rPr>
        <w:t>Crimes Act 1914</w:t>
      </w:r>
      <w:r w:rsidRPr="00B817BE">
        <w:rPr>
          <w:rFonts w:ascii="Book Antiqua" w:hAnsi="Book Antiqua"/>
        </w:rPr>
        <w:t xml:space="preserve"> (</w:t>
      </w:r>
      <w:proofErr w:type="spellStart"/>
      <w:r w:rsidRPr="00B817BE">
        <w:rPr>
          <w:rFonts w:ascii="Book Antiqua" w:hAnsi="Book Antiqua"/>
        </w:rPr>
        <w:t>Cth</w:t>
      </w:r>
      <w:proofErr w:type="spellEnd"/>
      <w:r w:rsidRPr="00B817BE">
        <w:rPr>
          <w:rFonts w:ascii="Book Antiqua" w:hAnsi="Book Antiqua"/>
        </w:rPr>
        <w:t xml:space="preserve">), introduced after that judgment. </w:t>
      </w:r>
    </w:p>
  </w:footnote>
  <w:footnote w:id="2">
    <w:p w14:paraId="05F4268C" w14:textId="4A637599" w:rsidR="00ED18C8" w:rsidRPr="00B817BE" w:rsidRDefault="00ED18C8">
      <w:pPr>
        <w:pStyle w:val="FootnoteText"/>
        <w:rPr>
          <w:rFonts w:ascii="Book Antiqua" w:hAnsi="Book Antiqua"/>
          <w:lang w:val="en-US"/>
        </w:rPr>
      </w:pPr>
      <w:r w:rsidRPr="00B817BE">
        <w:rPr>
          <w:rStyle w:val="FootnoteReference"/>
          <w:rFonts w:ascii="Book Antiqua" w:hAnsi="Book Antiqua"/>
        </w:rPr>
        <w:footnoteRef/>
      </w:r>
      <w:r w:rsidRPr="00B817BE">
        <w:rPr>
          <w:rFonts w:ascii="Book Antiqua" w:hAnsi="Book Antiqua"/>
        </w:rPr>
        <w:t xml:space="preserve"> </w:t>
      </w:r>
      <w:r w:rsidRPr="00B817BE">
        <w:rPr>
          <w:rFonts w:ascii="Book Antiqua" w:hAnsi="Book Antiqua"/>
          <w:i/>
          <w:iCs/>
          <w:lang w:val="en-US"/>
        </w:rPr>
        <w:t>CDPP v Carrick (a pseudonym)</w:t>
      </w:r>
      <w:r w:rsidRPr="00B817BE">
        <w:rPr>
          <w:rFonts w:ascii="Book Antiqua" w:hAnsi="Book Antiqua"/>
          <w:lang w:val="en-US"/>
        </w:rPr>
        <w:t xml:space="preserve"> [2023] </w:t>
      </w:r>
      <w:proofErr w:type="spellStart"/>
      <w:r w:rsidRPr="00B817BE">
        <w:rPr>
          <w:rFonts w:ascii="Book Antiqua" w:hAnsi="Book Antiqua"/>
          <w:lang w:val="en-US"/>
        </w:rPr>
        <w:t>VChC</w:t>
      </w:r>
      <w:proofErr w:type="spellEnd"/>
      <w:r w:rsidRPr="00B817BE">
        <w:rPr>
          <w:rFonts w:ascii="Book Antiqua" w:hAnsi="Book Antiqua"/>
          <w:lang w:val="en-US"/>
        </w:rPr>
        <w:t xml:space="preserve"> 1</w:t>
      </w:r>
      <w:r w:rsidR="005F686B" w:rsidRPr="00D35CDD">
        <w:rPr>
          <w:rFonts w:ascii="Book Antiqua" w:hAnsi="Book Antiqua"/>
          <w:lang w:val="en-US"/>
        </w:rPr>
        <w:t>.</w:t>
      </w:r>
    </w:p>
  </w:footnote>
  <w:footnote w:id="3">
    <w:p w14:paraId="6BB10068" w14:textId="4D762B8D" w:rsidR="00826E9E" w:rsidRPr="00B817BE" w:rsidRDefault="00826E9E">
      <w:pPr>
        <w:pStyle w:val="FootnoteText"/>
        <w:rPr>
          <w:rFonts w:ascii="Book Antiqua" w:hAnsi="Book Antiqua"/>
        </w:rPr>
      </w:pPr>
      <w:r w:rsidRPr="00B817BE">
        <w:rPr>
          <w:rStyle w:val="FootnoteReference"/>
          <w:rFonts w:ascii="Book Antiqua" w:hAnsi="Book Antiqua"/>
        </w:rPr>
        <w:footnoteRef/>
      </w:r>
      <w:r w:rsidRPr="00B817BE">
        <w:rPr>
          <w:rFonts w:ascii="Book Antiqua" w:hAnsi="Book Antiqua"/>
        </w:rPr>
        <w:t xml:space="preserve"> See, </w:t>
      </w:r>
      <w:proofErr w:type="spellStart"/>
      <w:r w:rsidRPr="00B817BE">
        <w:rPr>
          <w:rFonts w:ascii="Book Antiqua" w:hAnsi="Book Antiqua"/>
        </w:rPr>
        <w:t>eg</w:t>
      </w:r>
      <w:proofErr w:type="spellEnd"/>
      <w:r w:rsidRPr="00B817BE">
        <w:rPr>
          <w:rFonts w:ascii="Book Antiqua" w:hAnsi="Book Antiqua"/>
        </w:rPr>
        <w:t>, Mahmood Fazal, “The Infiltrator Who Helped Hatch a Terror Plot”, ABC Background Briefing, 5 December 20</w:t>
      </w:r>
      <w:r w:rsidR="00DF33A6">
        <w:rPr>
          <w:rFonts w:ascii="Book Antiqua" w:hAnsi="Book Antiqua"/>
        </w:rPr>
        <w:t>2</w:t>
      </w:r>
      <w:r w:rsidRPr="00B817BE">
        <w:rPr>
          <w:rFonts w:ascii="Book Antiqua" w:hAnsi="Book Antiqua"/>
        </w:rPr>
        <w:t xml:space="preserve">1, </w:t>
      </w:r>
      <w:hyperlink r:id="rId1" w:history="1">
        <w:r w:rsidRPr="00B817BE">
          <w:rPr>
            <w:rStyle w:val="Hyperlink"/>
            <w:rFonts w:ascii="Book Antiqua" w:hAnsi="Book Antiqua"/>
          </w:rPr>
          <w:t>https://www.abc.net.au/listen/programs/backgroundbriefing/the-infiltrator-who-helped-hatch-a-terror-plot/13659518</w:t>
        </w:r>
      </w:hyperlink>
      <w:r w:rsidRPr="00B817BE">
        <w:rPr>
          <w:rFonts w:ascii="Book Antiqua" w:hAnsi="Book Antiqua"/>
        </w:rPr>
        <w:t xml:space="preserve">. </w:t>
      </w:r>
    </w:p>
  </w:footnote>
  <w:footnote w:id="4">
    <w:p w14:paraId="05626908" w14:textId="54B04AE2" w:rsidR="00D35CDD" w:rsidRPr="00B817BE" w:rsidRDefault="00D35CDD">
      <w:pPr>
        <w:pStyle w:val="FootnoteText"/>
        <w:rPr>
          <w:rFonts w:ascii="Book Antiqua" w:hAnsi="Book Antiqua"/>
        </w:rPr>
      </w:pPr>
      <w:r w:rsidRPr="00B817BE">
        <w:rPr>
          <w:rStyle w:val="FootnoteReference"/>
          <w:rFonts w:ascii="Book Antiqua" w:hAnsi="Book Antiqua"/>
        </w:rPr>
        <w:footnoteRef/>
      </w:r>
      <w:r w:rsidRPr="00B817BE">
        <w:rPr>
          <w:rFonts w:ascii="Book Antiqua" w:hAnsi="Book Antiqua"/>
        </w:rPr>
        <w:t xml:space="preserve"> </w:t>
      </w:r>
      <w:r w:rsidR="0049044E">
        <w:rPr>
          <w:rFonts w:ascii="Book Antiqua" w:hAnsi="Book Antiqua"/>
        </w:rPr>
        <w:t xml:space="preserve">Nino Bucci, “AFP officer tells Senate he would repeat undercover operation on autistic teenager”, The Guardian, 14 February 2024, </w:t>
      </w:r>
      <w:r w:rsidRPr="00B817BE">
        <w:rPr>
          <w:rFonts w:ascii="Book Antiqua" w:hAnsi="Book Antiqua"/>
        </w:rPr>
        <w:t>https://www.theguardian.com/australia-news/2024/feb/13/afp-officer-tells-senate-he-would-repeat-undercover-operation-on-autistic-teenager</w:t>
      </w:r>
      <w:r w:rsidR="0049044E">
        <w:rPr>
          <w:rFonts w:ascii="Book Antiqua" w:hAnsi="Book Antiqu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C8"/>
    <w:rsid w:val="00017C40"/>
    <w:rsid w:val="000E4B94"/>
    <w:rsid w:val="00197C41"/>
    <w:rsid w:val="001A75B6"/>
    <w:rsid w:val="001C36E3"/>
    <w:rsid w:val="00216477"/>
    <w:rsid w:val="0023163B"/>
    <w:rsid w:val="00274965"/>
    <w:rsid w:val="00300221"/>
    <w:rsid w:val="003B1692"/>
    <w:rsid w:val="003D7285"/>
    <w:rsid w:val="004168FB"/>
    <w:rsid w:val="0049044E"/>
    <w:rsid w:val="004922C2"/>
    <w:rsid w:val="004F34E9"/>
    <w:rsid w:val="00547C2B"/>
    <w:rsid w:val="0058212B"/>
    <w:rsid w:val="005F14B9"/>
    <w:rsid w:val="005F686B"/>
    <w:rsid w:val="00651196"/>
    <w:rsid w:val="006D2C4A"/>
    <w:rsid w:val="007A6D85"/>
    <w:rsid w:val="0081317C"/>
    <w:rsid w:val="00826E9E"/>
    <w:rsid w:val="00861FAB"/>
    <w:rsid w:val="008745D1"/>
    <w:rsid w:val="008A2328"/>
    <w:rsid w:val="008D05F3"/>
    <w:rsid w:val="009776C7"/>
    <w:rsid w:val="009C6317"/>
    <w:rsid w:val="009D1BF4"/>
    <w:rsid w:val="009D4E2E"/>
    <w:rsid w:val="00AA707D"/>
    <w:rsid w:val="00AB3FC2"/>
    <w:rsid w:val="00AE1073"/>
    <w:rsid w:val="00B446CE"/>
    <w:rsid w:val="00B44825"/>
    <w:rsid w:val="00B46B98"/>
    <w:rsid w:val="00B817BE"/>
    <w:rsid w:val="00B90ED2"/>
    <w:rsid w:val="00C25DE0"/>
    <w:rsid w:val="00CB49E8"/>
    <w:rsid w:val="00D35CDD"/>
    <w:rsid w:val="00DB450B"/>
    <w:rsid w:val="00DF33A6"/>
    <w:rsid w:val="00E54015"/>
    <w:rsid w:val="00EA017D"/>
    <w:rsid w:val="00EB0F2D"/>
    <w:rsid w:val="00ED18C8"/>
    <w:rsid w:val="00EE7C0B"/>
    <w:rsid w:val="00FC42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6B6A"/>
  <w15:chartTrackingRefBased/>
  <w15:docId w15:val="{9AEBFC77-B9E6-49A6-AA0C-0DE92D41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0E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ED2"/>
    <w:rPr>
      <w:sz w:val="20"/>
      <w:szCs w:val="20"/>
    </w:rPr>
  </w:style>
  <w:style w:type="character" w:styleId="FootnoteReference">
    <w:name w:val="footnote reference"/>
    <w:basedOn w:val="DefaultParagraphFont"/>
    <w:uiPriority w:val="99"/>
    <w:semiHidden/>
    <w:unhideWhenUsed/>
    <w:rsid w:val="00B90ED2"/>
    <w:rPr>
      <w:vertAlign w:val="superscript"/>
    </w:rPr>
  </w:style>
  <w:style w:type="paragraph" w:styleId="ListParagraph">
    <w:name w:val="List Paragraph"/>
    <w:basedOn w:val="Normal"/>
    <w:uiPriority w:val="34"/>
    <w:qFormat/>
    <w:rsid w:val="00B90ED2"/>
    <w:pPr>
      <w:ind w:left="720"/>
      <w:contextualSpacing/>
    </w:pPr>
  </w:style>
  <w:style w:type="paragraph" w:styleId="Revision">
    <w:name w:val="Revision"/>
    <w:hidden/>
    <w:uiPriority w:val="99"/>
    <w:semiHidden/>
    <w:rsid w:val="00EE7C0B"/>
    <w:pPr>
      <w:spacing w:after="0" w:line="240" w:lineRule="auto"/>
    </w:pPr>
  </w:style>
  <w:style w:type="character" w:styleId="Hyperlink">
    <w:name w:val="Hyperlink"/>
    <w:basedOn w:val="DefaultParagraphFont"/>
    <w:uiPriority w:val="99"/>
    <w:unhideWhenUsed/>
    <w:rsid w:val="00826E9E"/>
    <w:rPr>
      <w:color w:val="0563C1" w:themeColor="hyperlink"/>
      <w:u w:val="single"/>
    </w:rPr>
  </w:style>
  <w:style w:type="character" w:styleId="UnresolvedMention">
    <w:name w:val="Unresolved Mention"/>
    <w:basedOn w:val="DefaultParagraphFont"/>
    <w:uiPriority w:val="99"/>
    <w:semiHidden/>
    <w:unhideWhenUsed/>
    <w:rsid w:val="00826E9E"/>
    <w:rPr>
      <w:color w:val="605E5C"/>
      <w:shd w:val="clear" w:color="auto" w:fill="E1DFDD"/>
    </w:rPr>
  </w:style>
  <w:style w:type="character" w:styleId="FollowedHyperlink">
    <w:name w:val="FollowedHyperlink"/>
    <w:basedOn w:val="DefaultParagraphFont"/>
    <w:uiPriority w:val="99"/>
    <w:semiHidden/>
    <w:unhideWhenUsed/>
    <w:rsid w:val="00D35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bc.net.au/listen/programs/backgroundbriefing/the-infiltrator-who-helped-hatch-a-terror-plot/13659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0EFCB-C3B0-4E5E-8D40-FDC4684F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Norton</dc:creator>
  <cp:keywords/>
  <dc:description/>
  <cp:lastModifiedBy>Michael Stanton</cp:lastModifiedBy>
  <cp:revision>21</cp:revision>
  <dcterms:created xsi:type="dcterms:W3CDTF">2024-02-22T02:46:00Z</dcterms:created>
  <dcterms:modified xsi:type="dcterms:W3CDTF">2024-02-22T03:56:00Z</dcterms:modified>
</cp:coreProperties>
</file>